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D3423" w14:textId="77777777" w:rsidR="001519E1" w:rsidRPr="004E28AD" w:rsidRDefault="001519E1" w:rsidP="001519E1">
      <w:pPr>
        <w:spacing w:before="0" w:after="160" w:line="360" w:lineRule="auto"/>
        <w:jc w:val="center"/>
        <w:rPr>
          <w:rFonts w:ascii="Times New Roman" w:eastAsia="Calibri" w:hAnsi="Times New Roman" w:cs="Times New Roman"/>
          <w:b/>
          <w:bCs/>
          <w:kern w:val="0"/>
          <w:szCs w:val="24"/>
          <w14:ligatures w14:val="none"/>
          <w14:numForm w14:val="default"/>
          <w14:numSpacing w14:val="default"/>
        </w:rPr>
      </w:pPr>
      <w:r>
        <w:rPr>
          <w:rFonts w:ascii="Times New Roman" w:eastAsia="Calibri" w:hAnsi="Times New Roman" w:cs="Times New Roman"/>
          <w:b/>
          <w:bCs/>
          <w:kern w:val="0"/>
          <w:szCs w:val="24"/>
          <w14:ligatures w14:val="none"/>
          <w14:numForm w14:val="default"/>
          <w14:numSpacing w14:val="default"/>
        </w:rPr>
        <w:t>Report of the Secretary General</w:t>
      </w:r>
    </w:p>
    <w:p w14:paraId="357606F8" w14:textId="77777777" w:rsidR="001519E1" w:rsidRPr="004E28AD" w:rsidRDefault="001519E1" w:rsidP="001519E1">
      <w:pPr>
        <w:spacing w:before="0" w:after="160" w:line="360" w:lineRule="auto"/>
        <w:jc w:val="center"/>
        <w:rPr>
          <w:rFonts w:ascii="Times New Roman" w:eastAsia="Calibri" w:hAnsi="Times New Roman" w:cs="Times New Roman"/>
          <w:b/>
          <w:bCs/>
          <w:kern w:val="0"/>
          <w:szCs w:val="24"/>
          <w14:ligatures w14:val="none"/>
          <w14:numForm w14:val="default"/>
          <w14:numSpacing w14:val="default"/>
        </w:rPr>
      </w:pPr>
      <w:r>
        <w:rPr>
          <w:rFonts w:ascii="Times New Roman" w:eastAsia="Calibri" w:hAnsi="Times New Roman" w:cs="Times New Roman"/>
          <w:b/>
          <w:bCs/>
          <w:kern w:val="0"/>
          <w:szCs w:val="24"/>
          <w14:ligatures w14:val="none"/>
          <w14:numForm w14:val="default"/>
          <w14:numSpacing w14:val="default"/>
        </w:rPr>
        <w:t>Legislative and Case-Law Developments in the Member States, Observer States and Invited States of the ICCS</w:t>
      </w:r>
    </w:p>
    <w:p w14:paraId="0BF63349" w14:textId="77777777" w:rsidR="001519E1" w:rsidRPr="004E28AD" w:rsidRDefault="001519E1" w:rsidP="001519E1">
      <w:pPr>
        <w:spacing w:before="0" w:after="160" w:line="360" w:lineRule="auto"/>
        <w:jc w:val="center"/>
        <w:rPr>
          <w:rFonts w:ascii="Times New Roman" w:eastAsia="Calibri" w:hAnsi="Times New Roman" w:cs="Times New Roman"/>
          <w:b/>
          <w:bCs/>
          <w:kern w:val="0"/>
          <w:szCs w:val="24"/>
          <w14:ligatures w14:val="none"/>
          <w14:numForm w14:val="default"/>
          <w14:numSpacing w14:val="default"/>
        </w:rPr>
      </w:pPr>
      <w:r>
        <w:rPr>
          <w:rFonts w:ascii="Times New Roman" w:eastAsia="Calibri" w:hAnsi="Times New Roman" w:cs="Times New Roman"/>
          <w:b/>
          <w:bCs/>
          <w:kern w:val="0"/>
          <w:szCs w:val="24"/>
          <w14:ligatures w14:val="none"/>
          <w14:numForm w14:val="default"/>
          <w14:numSpacing w14:val="default"/>
        </w:rPr>
        <w:t>Presented to the General Assembly on 8 October 2026</w:t>
      </w:r>
    </w:p>
    <w:p w14:paraId="7F1A2D2A" w14:textId="77777777" w:rsidR="001519E1" w:rsidRPr="00FF3CEE" w:rsidRDefault="001519E1" w:rsidP="001519E1">
      <w:pPr>
        <w:spacing w:before="100" w:beforeAutospacing="1" w:after="100" w:afterAutospacing="1" w:line="360" w:lineRule="auto"/>
        <w:jc w:val="both"/>
        <w:rPr>
          <w:rFonts w:ascii="Times New Roman" w:eastAsia="Times New Roman" w:hAnsi="Times New Roman" w:cs="Times New Roman"/>
          <w:b/>
          <w:bCs/>
          <w:kern w:val="0"/>
          <w:szCs w:val="24"/>
          <w:u w:val="single"/>
          <w:lang w:eastAsia="fr-FR"/>
          <w14:ligatures w14:val="none"/>
          <w14:numForm w14:val="default"/>
          <w14:numSpacing w14:val="default"/>
        </w:rPr>
      </w:pPr>
    </w:p>
    <w:p w14:paraId="2A43A68F" w14:textId="77777777" w:rsidR="001519E1" w:rsidRPr="00FF3CEE" w:rsidRDefault="001519E1" w:rsidP="001519E1">
      <w:pPr>
        <w:spacing w:before="100" w:beforeAutospacing="1" w:after="100" w:afterAutospacing="1" w:line="360" w:lineRule="auto"/>
        <w:jc w:val="both"/>
        <w:rPr>
          <w:rFonts w:ascii="Times New Roman" w:eastAsia="Times New Roman" w:hAnsi="Times New Roman" w:cs="Times New Roman"/>
          <w:bCs/>
          <w:kern w:val="0"/>
          <w:szCs w:val="24"/>
          <w:lang w:eastAsia="fr-FR"/>
          <w14:ligatures w14:val="none"/>
          <w14:numForm w14:val="default"/>
          <w14:numSpacing w14:val="default"/>
        </w:rPr>
      </w:pPr>
      <w:r>
        <w:rPr>
          <w:rFonts w:ascii="Times New Roman" w:eastAsia="Times New Roman" w:hAnsi="Times New Roman" w:cs="Times New Roman"/>
          <w:bCs/>
          <w:kern w:val="0"/>
          <w:szCs w:val="24"/>
          <w:lang w:eastAsia="fr-FR"/>
          <w14:ligatures w14:val="none"/>
          <w14:numForm w14:val="default"/>
          <w14:numSpacing w14:val="default"/>
        </w:rPr>
        <w:t>Mr President, Ladies and Gentlemen,</w:t>
      </w:r>
    </w:p>
    <w:p w14:paraId="005990FF" w14:textId="1F72DCBF" w:rsidR="001519E1" w:rsidRPr="00FF3CEE" w:rsidRDefault="001519E1" w:rsidP="001519E1">
      <w:pPr>
        <w:spacing w:before="100" w:beforeAutospacing="1" w:after="100" w:afterAutospacing="1" w:line="360" w:lineRule="auto"/>
        <w:jc w:val="both"/>
        <w:rPr>
          <w:rFonts w:ascii="Times New Roman" w:eastAsia="Times New Roman" w:hAnsi="Times New Roman" w:cs="Times New Roman"/>
          <w:bCs/>
          <w:kern w:val="0"/>
          <w:szCs w:val="24"/>
          <w:lang w:eastAsia="fr-FR"/>
          <w14:ligatures w14:val="none"/>
          <w14:numForm w14:val="default"/>
          <w14:numSpacing w14:val="default"/>
        </w:rPr>
      </w:pPr>
      <w:r>
        <w:rPr>
          <w:rFonts w:ascii="Times New Roman" w:eastAsia="Times New Roman" w:hAnsi="Times New Roman" w:cs="Times New Roman"/>
          <w:bCs/>
          <w:kern w:val="0"/>
          <w:szCs w:val="24"/>
          <w:lang w:eastAsia="fr-FR"/>
          <w14:ligatures w14:val="none"/>
          <w14:numForm w14:val="default"/>
          <w14:numSpacing w14:val="default"/>
        </w:rPr>
        <w:t>I will present to you the developments in legislation and case law over the past year for certain Member States, Observer States and also invited States. Others will then take the floor to inform you of new developments in civil status matters in their own law. We will be able to exchange views afterwards. There will no doubt be many questions, given the importance of the topics addressed.</w:t>
      </w:r>
    </w:p>
    <w:p w14:paraId="071C4056" w14:textId="148B5365" w:rsidR="001519E1" w:rsidRPr="00CC6F62" w:rsidRDefault="001519E1" w:rsidP="001519E1">
      <w:pPr>
        <w:spacing w:before="100" w:beforeAutospacing="1" w:after="100" w:afterAutospacing="1" w:line="360" w:lineRule="auto"/>
        <w:jc w:val="both"/>
        <w:rPr>
          <w:rFonts w:ascii="Times New Roman" w:eastAsia="Times New Roman" w:hAnsi="Times New Roman" w:cs="Times New Roman"/>
          <w:bCs/>
          <w:kern w:val="0"/>
          <w:szCs w:val="24"/>
          <w:lang w:eastAsia="fr-FR"/>
          <w14:ligatures w14:val="none"/>
          <w14:numForm w14:val="default"/>
          <w14:numSpacing w14:val="default"/>
        </w:rPr>
      </w:pPr>
      <w:r>
        <w:rPr>
          <w:rFonts w:ascii="Times New Roman" w:eastAsia="Times New Roman" w:hAnsi="Times New Roman" w:cs="Times New Roman"/>
          <w:bCs/>
          <w:kern w:val="0"/>
          <w:szCs w:val="24"/>
          <w:lang w:eastAsia="fr-FR"/>
          <w14:ligatures w14:val="none"/>
          <w14:numForm w14:val="default"/>
          <w14:numSpacing w14:val="default"/>
        </w:rPr>
        <w:t>Information on the various legal systems will be communicated in the language in which it was provided to us.</w:t>
      </w:r>
    </w:p>
    <w:p w14:paraId="61DCD179" w14:textId="77777777" w:rsidR="001519E1" w:rsidRPr="004E28AD" w:rsidRDefault="001519E1" w:rsidP="001519E1">
      <w:pPr>
        <w:spacing w:line="360" w:lineRule="auto"/>
        <w:jc w:val="both"/>
        <w:rPr>
          <w:rFonts w:ascii="Times New Roman" w:hAnsi="Times New Roman" w:cs="Times New Roman"/>
          <w:b/>
          <w:szCs w:val="24"/>
          <w:u w:val="single"/>
        </w:rPr>
      </w:pPr>
      <w:r>
        <w:rPr>
          <w:rFonts w:ascii="Times New Roman" w:hAnsi="Times New Roman" w:cs="Times New Roman"/>
          <w:b/>
          <w:szCs w:val="24"/>
          <w:u w:val="single"/>
        </w:rPr>
        <w:t>I – Organisation of civil status</w:t>
      </w:r>
    </w:p>
    <w:p w14:paraId="6F5CF9F1" w14:textId="77777777" w:rsidR="001519E1" w:rsidRDefault="001519E1" w:rsidP="001519E1">
      <w:pPr>
        <w:spacing w:line="360" w:lineRule="auto"/>
        <w:jc w:val="both"/>
        <w:rPr>
          <w:rFonts w:ascii="Times New Roman" w:hAnsi="Times New Roman" w:cs="Times New Roman"/>
          <w:b/>
          <w:szCs w:val="24"/>
        </w:rPr>
      </w:pPr>
    </w:p>
    <w:p w14:paraId="210CC8E6" w14:textId="2E0DDAAD" w:rsidR="001519E1" w:rsidRPr="007A1E5C"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A – Belgium</w:t>
      </w:r>
    </w:p>
    <w:p w14:paraId="0283D429" w14:textId="77777777" w:rsidR="001519E1" w:rsidRPr="00FC711A" w:rsidRDefault="001519E1" w:rsidP="001519E1">
      <w:pPr>
        <w:spacing w:line="360" w:lineRule="auto"/>
        <w:jc w:val="both"/>
        <w:rPr>
          <w:rFonts w:ascii="Times New Roman" w:hAnsi="Times New Roman" w:cs="Times New Roman"/>
          <w:b/>
          <w:bCs/>
          <w:szCs w:val="24"/>
          <w:u w:val="single"/>
        </w:rPr>
      </w:pPr>
      <w:r>
        <w:rPr>
          <w:rFonts w:ascii="Times New Roman" w:hAnsi="Times New Roman" w:cs="Times New Roman"/>
          <w:b/>
          <w:bCs/>
          <w:szCs w:val="24"/>
          <w:u w:val="single"/>
        </w:rPr>
        <w:t xml:space="preserve">Preliminary draft act containing miscellaneous provisions on the law of persons </w:t>
      </w:r>
    </w:p>
    <w:p w14:paraId="166EC9A4" w14:textId="77777777"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The preliminary draft act is still at the first stage of the legislative process. The information below is therefore subject to its final adoption by Parliament.</w:t>
      </w:r>
    </w:p>
    <w:p w14:paraId="333A5A85" w14:textId="77777777"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This draft act aims to take a number of miscellaneous measures in the law of persons and families and to amend various laws falling within the remit of the Department of Justice.</w:t>
      </w:r>
    </w:p>
    <w:p w14:paraId="60AF64CD" w14:textId="3D637DA2"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 </w:t>
      </w:r>
      <w:r>
        <w:rPr>
          <w:rFonts w:ascii="Times New Roman" w:hAnsi="Times New Roman" w:cs="Times New Roman"/>
          <w:bCs/>
          <w:szCs w:val="24"/>
          <w:u w:val="single"/>
        </w:rPr>
        <w:t>As regards civil status, the draft provides for broader possibilities for rectifying civil status records</w:t>
      </w:r>
      <w:r>
        <w:rPr>
          <w:rFonts w:ascii="Times New Roman" w:hAnsi="Times New Roman" w:cs="Times New Roman"/>
          <w:bCs/>
          <w:szCs w:val="24"/>
        </w:rPr>
        <w:t xml:space="preserve">. The main change is the possibility for civil registrars to rectify a </w:t>
      </w:r>
      <w:r w:rsidR="00A30047">
        <w:rPr>
          <w:rFonts w:ascii="Times New Roman" w:hAnsi="Times New Roman" w:cs="Times New Roman"/>
          <w:bCs/>
          <w:szCs w:val="24"/>
        </w:rPr>
        <w:t>filiation</w:t>
      </w:r>
      <w:r>
        <w:rPr>
          <w:rFonts w:ascii="Times New Roman" w:hAnsi="Times New Roman" w:cs="Times New Roman"/>
          <w:bCs/>
          <w:szCs w:val="24"/>
        </w:rPr>
        <w:t xml:space="preserve"> link and where applicable a name, in a civil status record, if the erroneous </w:t>
      </w:r>
      <w:r w:rsidR="00A30047">
        <w:rPr>
          <w:rFonts w:ascii="Times New Roman" w:hAnsi="Times New Roman" w:cs="Times New Roman"/>
          <w:bCs/>
          <w:szCs w:val="24"/>
        </w:rPr>
        <w:t>filiation</w:t>
      </w:r>
      <w:r>
        <w:rPr>
          <w:rFonts w:ascii="Times New Roman" w:hAnsi="Times New Roman" w:cs="Times New Roman"/>
          <w:bCs/>
          <w:szCs w:val="24"/>
        </w:rPr>
        <w:t xml:space="preserve"> is apparent from other civil status records presented to them.</w:t>
      </w:r>
    </w:p>
    <w:p w14:paraId="43BAE710" w14:textId="0C0ADFA5"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The possibility of amending </w:t>
      </w:r>
      <w:r w:rsidR="00A30047">
        <w:rPr>
          <w:rFonts w:ascii="Times New Roman" w:hAnsi="Times New Roman" w:cs="Times New Roman"/>
          <w:bCs/>
          <w:szCs w:val="24"/>
        </w:rPr>
        <w:t>filiation</w:t>
      </w:r>
      <w:r>
        <w:rPr>
          <w:rFonts w:ascii="Times New Roman" w:hAnsi="Times New Roman" w:cs="Times New Roman"/>
          <w:bCs/>
          <w:szCs w:val="24"/>
        </w:rPr>
        <w:t xml:space="preserve"> and name in a civil status record is justified by the finding that civil registrars are regularly confronted, when a birth is declared or when a foreign birth record is recognised, with a situation in which the civil status of the mother cannot be </w:t>
      </w:r>
      <w:r>
        <w:rPr>
          <w:rFonts w:ascii="Times New Roman" w:hAnsi="Times New Roman" w:cs="Times New Roman"/>
          <w:bCs/>
          <w:szCs w:val="24"/>
        </w:rPr>
        <w:lastRenderedPageBreak/>
        <w:t xml:space="preserve">established. In such cases, the civil registrar will draw up a birth record mentioning only maternal </w:t>
      </w:r>
      <w:r w:rsidR="00A30047">
        <w:rPr>
          <w:rFonts w:ascii="Times New Roman" w:hAnsi="Times New Roman" w:cs="Times New Roman"/>
          <w:bCs/>
          <w:szCs w:val="24"/>
        </w:rPr>
        <w:t>filiation</w:t>
      </w:r>
      <w:r>
        <w:rPr>
          <w:rFonts w:ascii="Times New Roman" w:hAnsi="Times New Roman" w:cs="Times New Roman"/>
          <w:bCs/>
          <w:szCs w:val="24"/>
        </w:rPr>
        <w:t>, and the father or co-mother could acknowledge the child.</w:t>
      </w:r>
    </w:p>
    <w:p w14:paraId="743F1B70" w14:textId="06DC405B"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If, after the birth record has been drawn up, a marriage record or a record of prenatal acknowledgment is presented and/or recognised, from which the child</w:t>
      </w:r>
      <w:r w:rsidR="00A30047">
        <w:rPr>
          <w:rFonts w:ascii="Times New Roman" w:hAnsi="Times New Roman" w:cs="Times New Roman"/>
          <w:bCs/>
          <w:szCs w:val="24"/>
        </w:rPr>
        <w:t>’</w:t>
      </w:r>
      <w:r>
        <w:rPr>
          <w:rFonts w:ascii="Times New Roman" w:hAnsi="Times New Roman" w:cs="Times New Roman"/>
          <w:bCs/>
          <w:szCs w:val="24"/>
        </w:rPr>
        <w:t xml:space="preserve">s dual </w:t>
      </w:r>
      <w:r w:rsidR="00A30047">
        <w:rPr>
          <w:rFonts w:ascii="Times New Roman" w:hAnsi="Times New Roman" w:cs="Times New Roman"/>
          <w:bCs/>
          <w:szCs w:val="24"/>
        </w:rPr>
        <w:t>filiation</w:t>
      </w:r>
      <w:r>
        <w:rPr>
          <w:rFonts w:ascii="Times New Roman" w:hAnsi="Times New Roman" w:cs="Times New Roman"/>
          <w:bCs/>
          <w:szCs w:val="24"/>
        </w:rPr>
        <w:t xml:space="preserve"> appears, the </w:t>
      </w:r>
      <w:r w:rsidR="00A30047">
        <w:rPr>
          <w:rFonts w:ascii="Times New Roman" w:hAnsi="Times New Roman" w:cs="Times New Roman"/>
          <w:bCs/>
          <w:szCs w:val="24"/>
        </w:rPr>
        <w:t>filiation</w:t>
      </w:r>
      <w:r>
        <w:rPr>
          <w:rFonts w:ascii="Times New Roman" w:hAnsi="Times New Roman" w:cs="Times New Roman"/>
          <w:bCs/>
          <w:szCs w:val="24"/>
        </w:rPr>
        <w:t xml:space="preserve"> must be rectified in the birth record (addition of the spouse or of the person who made the acknowledgment).</w:t>
      </w:r>
    </w:p>
    <w:p w14:paraId="340C9498" w14:textId="77777777"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This power is, however, currently reserved exclusively to the family court. This draft act aims to avoid persons concerned being obliged, in such cases, to systematically refer the matter to the court.</w:t>
      </w:r>
    </w:p>
    <w:p w14:paraId="61AD5D43" w14:textId="5A72755F"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 </w:t>
      </w:r>
      <w:r>
        <w:rPr>
          <w:rFonts w:ascii="Times New Roman" w:hAnsi="Times New Roman" w:cs="Times New Roman"/>
          <w:bCs/>
          <w:szCs w:val="24"/>
          <w:u w:val="single"/>
        </w:rPr>
        <w:t>The draft act further aims to allow copies and extracts of civil status records to be issued on presentation of a power of attorney under private signature</w:t>
      </w:r>
      <w:r>
        <w:rPr>
          <w:rFonts w:ascii="Times New Roman" w:hAnsi="Times New Roman" w:cs="Times New Roman"/>
          <w:bCs/>
          <w:szCs w:val="24"/>
        </w:rPr>
        <w:t>.</w:t>
      </w:r>
    </w:p>
    <w:p w14:paraId="52DFCF92" w14:textId="77777777"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The Act of 13 September 2023 considerably restricted, with effect from 1 January 2025, the circle of persons entitled to obtain a copy or extract of a civil status record. Since then, notaries and lawyers, among others, have no longer been entitled to obtain a copy or extract of a civil status record for their client, which sometimes caused practical problems. The draft act allows any person holding a power of attorney from the person concerned to obtain copies or extracts.</w:t>
      </w:r>
    </w:p>
    <w:p w14:paraId="6F2AF405" w14:textId="77777777"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 </w:t>
      </w:r>
      <w:r>
        <w:rPr>
          <w:rFonts w:ascii="Times New Roman" w:hAnsi="Times New Roman" w:cs="Times New Roman"/>
          <w:bCs/>
          <w:szCs w:val="24"/>
          <w:u w:val="single"/>
        </w:rPr>
        <w:t>The draft also aims to introduce an obligation for court registries to add themselves the necessary data from the National Register, as well as the civil status records from the civil status records database (BAEC), in all cases falling within the jurisdiction of the family courts</w:t>
      </w:r>
      <w:r>
        <w:rPr>
          <w:rFonts w:ascii="Times New Roman" w:hAnsi="Times New Roman" w:cs="Times New Roman"/>
          <w:bCs/>
          <w:szCs w:val="24"/>
        </w:rPr>
        <w:t xml:space="preserve">. </w:t>
      </w:r>
    </w:p>
    <w:p w14:paraId="5DE057CE" w14:textId="3A3D3DA3"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This obligation already existed in divorce proceedings, but it will now be enshrined in the Judicial Code as a general obligation. The aim is to address the problems raised by the restriction of the number of persons entitled to a copy or extract of a civil status record.</w:t>
      </w:r>
    </w:p>
    <w:p w14:paraId="02955A93" w14:textId="740DB193"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 </w:t>
      </w:r>
      <w:r>
        <w:rPr>
          <w:rFonts w:ascii="Times New Roman" w:hAnsi="Times New Roman" w:cs="Times New Roman"/>
          <w:bCs/>
          <w:szCs w:val="24"/>
          <w:u w:val="single"/>
        </w:rPr>
        <w:t>In addition, transmission via the BAEC now becomes mandatory for all judicial decisions that concern a civil status declaration or record but do not directly give rise to its establishment</w:t>
      </w:r>
      <w:r>
        <w:rPr>
          <w:rFonts w:ascii="Times New Roman" w:hAnsi="Times New Roman" w:cs="Times New Roman"/>
          <w:bCs/>
          <w:szCs w:val="24"/>
        </w:rPr>
        <w:t>.</w:t>
      </w:r>
    </w:p>
    <w:p w14:paraId="36C0599F" w14:textId="2F3BFC27" w:rsidR="001519E1" w:rsidRPr="00FC711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Since the introduction of the BAEC, the law has contained several provisions on the transmission via the BAEC of data from judicial decisions that entail a change in a person</w:t>
      </w:r>
      <w:r w:rsidR="00A30047">
        <w:rPr>
          <w:rFonts w:ascii="Times New Roman" w:hAnsi="Times New Roman" w:cs="Times New Roman"/>
          <w:bCs/>
          <w:szCs w:val="24"/>
        </w:rPr>
        <w:t>’</w:t>
      </w:r>
      <w:r>
        <w:rPr>
          <w:rFonts w:ascii="Times New Roman" w:hAnsi="Times New Roman" w:cs="Times New Roman"/>
          <w:bCs/>
          <w:szCs w:val="24"/>
        </w:rPr>
        <w:t xml:space="preserve">s status (for example, decisions amending a </w:t>
      </w:r>
      <w:r w:rsidR="003926E5">
        <w:rPr>
          <w:rFonts w:ascii="Times New Roman" w:hAnsi="Times New Roman" w:cs="Times New Roman"/>
          <w:bCs/>
          <w:szCs w:val="24"/>
        </w:rPr>
        <w:t>filiation</w:t>
      </w:r>
      <w:r>
        <w:rPr>
          <w:rFonts w:ascii="Times New Roman" w:hAnsi="Times New Roman" w:cs="Times New Roman"/>
          <w:bCs/>
          <w:szCs w:val="24"/>
        </w:rPr>
        <w:t xml:space="preserve"> link, divorce judgments where no marriage record is registered in the BAEC, judgments rectifying a civil status record).</w:t>
      </w:r>
    </w:p>
    <w:p w14:paraId="0C3B06A7" w14:textId="43D9F3B5" w:rsidR="001519E1"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This obligation did not exist for decisions that neither establish nor modify a person</w:t>
      </w:r>
      <w:r w:rsidR="00A30047">
        <w:rPr>
          <w:rFonts w:ascii="Times New Roman" w:hAnsi="Times New Roman" w:cs="Times New Roman"/>
          <w:bCs/>
          <w:szCs w:val="24"/>
        </w:rPr>
        <w:t>’</w:t>
      </w:r>
      <w:r>
        <w:rPr>
          <w:rFonts w:ascii="Times New Roman" w:hAnsi="Times New Roman" w:cs="Times New Roman"/>
          <w:bCs/>
          <w:szCs w:val="24"/>
        </w:rPr>
        <w:t>s status and which therefore do not directly give rise to the drawing up of a civil status record (for example, a judicial decision concerning a civil registrar</w:t>
      </w:r>
      <w:r w:rsidR="00A30047">
        <w:rPr>
          <w:rFonts w:ascii="Times New Roman" w:hAnsi="Times New Roman" w:cs="Times New Roman"/>
          <w:bCs/>
          <w:szCs w:val="24"/>
        </w:rPr>
        <w:t>’</w:t>
      </w:r>
      <w:r>
        <w:rPr>
          <w:rFonts w:ascii="Times New Roman" w:hAnsi="Times New Roman" w:cs="Times New Roman"/>
          <w:bCs/>
          <w:szCs w:val="24"/>
        </w:rPr>
        <w:t>s refusal to register an acknowledgment). Although the decisions in question are not decisions relating to the status of persons, it is appropriate that they be transmitted via the BAEC once they have become final (</w:t>
      </w:r>
      <w:r w:rsidRPr="003926E5">
        <w:rPr>
          <w:rFonts w:ascii="Times New Roman" w:hAnsi="Times New Roman" w:cs="Times New Roman"/>
          <w:bCs/>
          <w:i/>
          <w:iCs/>
          <w:szCs w:val="24"/>
        </w:rPr>
        <w:t>res judicata</w:t>
      </w:r>
      <w:r>
        <w:rPr>
          <w:rFonts w:ascii="Times New Roman" w:hAnsi="Times New Roman" w:cs="Times New Roman"/>
          <w:bCs/>
          <w:szCs w:val="24"/>
        </w:rPr>
        <w:t>). The BAEC is indeed the most effective channel of communication between the courts and civil registrars.</w:t>
      </w:r>
    </w:p>
    <w:p w14:paraId="453F0099" w14:textId="2B45256F" w:rsidR="001519E1" w:rsidRPr="005E2C8D" w:rsidRDefault="001519E1" w:rsidP="001519E1">
      <w:pPr>
        <w:jc w:val="both"/>
        <w:rPr>
          <w:rFonts w:ascii="Times New Roman" w:hAnsi="Times New Roman" w:cs="Times New Roman"/>
          <w:b/>
          <w:szCs w:val="24"/>
        </w:rPr>
      </w:pPr>
      <w:r>
        <w:rPr>
          <w:rFonts w:ascii="Times New Roman" w:hAnsi="Times New Roman" w:cs="Times New Roman"/>
          <w:b/>
          <w:szCs w:val="24"/>
          <w:u w:val="single"/>
        </w:rPr>
        <w:t>The Flemish decree of 14 July 2025 on the administrative death platform</w:t>
      </w:r>
      <w:r>
        <w:rPr>
          <w:rStyle w:val="Appelnotedebasdep"/>
          <w:rFonts w:ascii="Times New Roman" w:hAnsi="Times New Roman" w:cs="Times New Roman"/>
          <w:b/>
          <w:szCs w:val="24"/>
          <w:u w:val="single"/>
        </w:rPr>
        <w:footnoteReference w:id="1"/>
      </w:r>
      <w:r>
        <w:rPr>
          <w:rFonts w:ascii="Times New Roman" w:hAnsi="Times New Roman" w:cs="Times New Roman"/>
          <w:b/>
          <w:szCs w:val="24"/>
        </w:rPr>
        <w:t> </w:t>
      </w:r>
    </w:p>
    <w:p w14:paraId="1D06D8CF" w14:textId="77777777" w:rsidR="001519E1" w:rsidRPr="005E2C8D" w:rsidRDefault="001519E1" w:rsidP="001519E1">
      <w:pPr>
        <w:jc w:val="both"/>
        <w:rPr>
          <w:rFonts w:ascii="Times New Roman" w:hAnsi="Times New Roman" w:cs="Times New Roman"/>
          <w:bCs/>
          <w:szCs w:val="24"/>
        </w:rPr>
      </w:pPr>
    </w:p>
    <w:p w14:paraId="76C5D34D" w14:textId="3686E1A5" w:rsidR="001519E1" w:rsidRPr="005E2C8D"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The decree has introduced in the Flemish Region a digital platform for all administrative procedures concerning a death in the Flemish Region: the medical certification of death by a doctor, downloading of the death record (in practice in national and multilingual format, the extract under Convention No. 34), request and issuance of the burial and cremation authorisation, and collection of medical and socio-economic statistics on causes of death.</w:t>
      </w:r>
    </w:p>
    <w:p w14:paraId="1E482FC1" w14:textId="77777777" w:rsidR="001519E1" w:rsidRPr="000B5A36"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The extract of the record provided for by Convention No. 34 is still used by practitioners; the one under Convention No. 16 can nevertheless be requested from the municipality, but outside the platform. Since 1 January 2026 (the date of entry into force of the new decree and of the platform), there have been approximately 66,000 additional automatic issuances of the “34” extract per year.</w:t>
      </w:r>
    </w:p>
    <w:p w14:paraId="525CBF7A" w14:textId="77777777" w:rsidR="001519E1" w:rsidRPr="003F0B71" w:rsidRDefault="001519E1" w:rsidP="001519E1">
      <w:pPr>
        <w:spacing w:line="360" w:lineRule="auto"/>
        <w:jc w:val="both"/>
        <w:rPr>
          <w:rFonts w:ascii="Times New Roman" w:hAnsi="Times New Roman" w:cs="Times New Roman"/>
          <w:bCs/>
          <w:szCs w:val="24"/>
        </w:rPr>
      </w:pPr>
    </w:p>
    <w:p w14:paraId="4B2A8648" w14:textId="77777777" w:rsidR="001519E1" w:rsidRPr="00A24DD5"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B – Romania</w:t>
      </w:r>
    </w:p>
    <w:p w14:paraId="01A7EF6D" w14:textId="138C2DD4" w:rsidR="001519E1" w:rsidRPr="00CE09D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Following the commissioning of the Integrated Information System for the Issuance of Civil Status Records (SIIEASC) on 31 March 2025, a major step has been taken in the modernisation of public administration. Thanks to SIIEASC, civil status records (birth, marriage and death records) are now registered and managed exclusively in electronic form, replacing handwritten paper registers.</w:t>
      </w:r>
    </w:p>
    <w:p w14:paraId="2298CB71" w14:textId="7A6B7A1F" w:rsidR="001519E1" w:rsidRPr="00A24DD5"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These digital services are accessible to civil registrars in the country</w:t>
      </w:r>
      <w:r w:rsidR="00A30047">
        <w:rPr>
          <w:rFonts w:ascii="Times New Roman" w:hAnsi="Times New Roman" w:cs="Times New Roman"/>
          <w:bCs/>
          <w:szCs w:val="24"/>
        </w:rPr>
        <w:t>’</w:t>
      </w:r>
      <w:r>
        <w:rPr>
          <w:rFonts w:ascii="Times New Roman" w:hAnsi="Times New Roman" w:cs="Times New Roman"/>
          <w:bCs/>
          <w:szCs w:val="24"/>
        </w:rPr>
        <w:t>s 3,229 administrative-territorial units. In addition to civil registrars working on national territory, these same electronic services have also been available, since September 2025, in Romania</w:t>
      </w:r>
      <w:r w:rsidR="00A30047">
        <w:rPr>
          <w:rFonts w:ascii="Times New Roman" w:hAnsi="Times New Roman" w:cs="Times New Roman"/>
          <w:bCs/>
          <w:szCs w:val="24"/>
        </w:rPr>
        <w:t>’</w:t>
      </w:r>
      <w:r>
        <w:rPr>
          <w:rFonts w:ascii="Times New Roman" w:hAnsi="Times New Roman" w:cs="Times New Roman"/>
          <w:bCs/>
          <w:szCs w:val="24"/>
        </w:rPr>
        <w:t>s diplomatic missions abroad, following their interconnection with the central system. Steps are currently under way with health establishments to enable them to enter directly into the system the medical certificates attesting live births.</w:t>
      </w:r>
    </w:p>
    <w:p w14:paraId="5AC17349" w14:textId="253073E8" w:rsidR="001519E1" w:rsidRPr="00CE09D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As of 11 September 2026, more than 6.56 million data-processing operations relating to civil status events had been carried out via the platform and approximately 1.98 million civil status certificates had been issued, in digital and printed form. Certificates and extracts of civil status records, including those issued under Convention No. 16 of the International Commission on Civil Status, are transmitted in digital form, electronically signed by the system and bear a printed verification link.</w:t>
      </w:r>
    </w:p>
    <w:p w14:paraId="565F438F" w14:textId="77777777" w:rsidR="001519E1" w:rsidRPr="00A24DD5" w:rsidRDefault="001519E1" w:rsidP="001519E1">
      <w:pPr>
        <w:tabs>
          <w:tab w:val="left" w:pos="5832"/>
        </w:tabs>
        <w:spacing w:before="0" w:after="0" w:line="360" w:lineRule="auto"/>
        <w:jc w:val="both"/>
        <w:rPr>
          <w:rFonts w:ascii="Times New Roman" w:eastAsia="Times New Roman" w:hAnsi="Times New Roman" w:cs="Times New Roman"/>
          <w:kern w:val="0"/>
          <w:szCs w:val="24"/>
          <w14:ligatures w14:val="none"/>
          <w14:numForm w14:val="default"/>
          <w14:numSpacing w14:val="default"/>
        </w:rPr>
      </w:pPr>
    </w:p>
    <w:p w14:paraId="2EEFE29E" w14:textId="032E9B70" w:rsidR="001519E1"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C – Switzerland</w:t>
      </w:r>
    </w:p>
    <w:p w14:paraId="43D5922D" w14:textId="77777777" w:rsidR="001519E1" w:rsidRPr="00322EEF" w:rsidRDefault="001519E1" w:rsidP="001519E1">
      <w:pPr>
        <w:spacing w:line="360" w:lineRule="auto"/>
        <w:jc w:val="both"/>
        <w:rPr>
          <w:rFonts w:ascii="Times New Roman" w:hAnsi="Times New Roman" w:cs="Times New Roman"/>
          <w:b/>
          <w:bCs/>
          <w:szCs w:val="24"/>
        </w:rPr>
      </w:pPr>
      <w:r>
        <w:rPr>
          <w:rFonts w:ascii="Times New Roman" w:hAnsi="Times New Roman" w:cs="Times New Roman"/>
          <w:b/>
          <w:bCs/>
          <w:szCs w:val="24"/>
        </w:rPr>
        <w:t>Civil status data. Unsatisfactory situation in the absence of evidence</w:t>
      </w:r>
    </w:p>
    <w:p w14:paraId="7355ACD3" w14:textId="2A561B8C" w:rsidR="001519E1" w:rsidRPr="00322EEF"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The procedure for registering civil status facts, such as a birth or a marriage, in the Swiss civil status register often proves unsatisfactory when the required documents are lacking, as the Federal Council concludes in its report of 15 April 2026 in response to </w:t>
      </w:r>
      <w:hyperlink r:id="rId8" w:history="1">
        <w:r>
          <w:rPr>
            <w:rStyle w:val="Lienhypertexte"/>
            <w:rFonts w:ascii="Times New Roman" w:hAnsi="Times New Roman" w:cs="Times New Roman"/>
            <w:bCs/>
            <w:szCs w:val="24"/>
          </w:rPr>
          <w:t>postulate 21.4482</w:t>
        </w:r>
      </w:hyperlink>
      <w:r>
        <w:rPr>
          <w:rFonts w:ascii="Times New Roman" w:hAnsi="Times New Roman" w:cs="Times New Roman"/>
          <w:bCs/>
          <w:szCs w:val="24"/>
        </w:rPr>
        <w:t>.</w:t>
      </w:r>
    </w:p>
    <w:p w14:paraId="38D40ABF" w14:textId="77777777" w:rsidR="001519E1" w:rsidRPr="004E28AD"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The distribution of competences among the authorities involved, under Articles 41 to 43 of the </w:t>
      </w:r>
      <w:hyperlink r:id="rId9" w:history="1">
        <w:r>
          <w:rPr>
            <w:rStyle w:val="Lienhypertexte"/>
            <w:rFonts w:ascii="Times New Roman" w:hAnsi="Times New Roman" w:cs="Times New Roman"/>
            <w:bCs/>
            <w:szCs w:val="24"/>
          </w:rPr>
          <w:t>Swiss Civil Code</w:t>
        </w:r>
      </w:hyperlink>
      <w:r>
        <w:rPr>
          <w:rFonts w:ascii="Times New Roman" w:hAnsi="Times New Roman" w:cs="Times New Roman"/>
          <w:bCs/>
          <w:szCs w:val="24"/>
        </w:rPr>
        <w:t>, is sometimes unclear and the procedure is often long and costly. The Federal Council has therefore instructed the Federal Department of Justice and Police (FDJP) to prepare, by the end of 2027, a preliminary draft revision of the relevant provisions.</w:t>
      </w:r>
    </w:p>
    <w:p w14:paraId="39AD1109" w14:textId="77777777" w:rsidR="001519E1" w:rsidRPr="00CD6791" w:rsidRDefault="001519E1" w:rsidP="001519E1">
      <w:pPr>
        <w:spacing w:line="360" w:lineRule="auto"/>
        <w:jc w:val="both"/>
        <w:rPr>
          <w:rFonts w:ascii="Times New Roman" w:hAnsi="Times New Roman" w:cs="Times New Roman"/>
          <w:b/>
          <w:bCs/>
          <w:szCs w:val="24"/>
        </w:rPr>
      </w:pPr>
      <w:r>
        <w:rPr>
          <w:rFonts w:ascii="Times New Roman" w:hAnsi="Times New Roman" w:cs="Times New Roman"/>
          <w:b/>
          <w:bCs/>
          <w:szCs w:val="24"/>
        </w:rPr>
        <w:t>Fees in civil status matters</w:t>
      </w:r>
    </w:p>
    <w:p w14:paraId="3F736355" w14:textId="269405FF" w:rsidR="001519E1"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 xml:space="preserve">On 24 June 2026, the Federal Council opened the public consultation on a revision of the </w:t>
      </w:r>
      <w:hyperlink r:id="rId10" w:history="1">
        <w:r>
          <w:rPr>
            <w:rStyle w:val="Lienhypertexte"/>
            <w:rFonts w:ascii="Times New Roman" w:hAnsi="Times New Roman" w:cs="Times New Roman"/>
            <w:szCs w:val="24"/>
          </w:rPr>
          <w:t>Ordinance on Fees in Civil Status Matters</w:t>
        </w:r>
      </w:hyperlink>
      <w:r>
        <w:rPr>
          <w:rFonts w:ascii="Times New Roman" w:hAnsi="Times New Roman" w:cs="Times New Roman"/>
          <w:szCs w:val="24"/>
        </w:rPr>
        <w:t>. The consultation period runs until 15 October 2026 (</w:t>
      </w:r>
      <w:hyperlink r:id="rId11" w:history="1">
        <w:r>
          <w:rPr>
            <w:rStyle w:val="Lienhypertexte"/>
            <w:rFonts w:ascii="Times New Roman" w:hAnsi="Times New Roman" w:cs="Times New Roman"/>
            <w:szCs w:val="24"/>
          </w:rPr>
          <w:t>Civil status fees will better cover costs</w:t>
        </w:r>
      </w:hyperlink>
      <w:r>
        <w:rPr>
          <w:rFonts w:ascii="Times New Roman" w:hAnsi="Times New Roman" w:cs="Times New Roman"/>
          <w:szCs w:val="24"/>
        </w:rPr>
        <w:t>). Fees paid for services will in future better cover the workload of the civil status authorities. To this end, the Federal Council intends to raise the rates for each service moderately, for example for the drawing up of civil status documents.</w:t>
      </w:r>
    </w:p>
    <w:p w14:paraId="48B67E48" w14:textId="77777777" w:rsidR="001519E1" w:rsidRDefault="001519E1" w:rsidP="001519E1">
      <w:pPr>
        <w:spacing w:line="360" w:lineRule="auto"/>
        <w:jc w:val="both"/>
        <w:rPr>
          <w:rFonts w:ascii="Times New Roman" w:hAnsi="Times New Roman" w:cs="Times New Roman"/>
          <w:szCs w:val="24"/>
        </w:rPr>
      </w:pPr>
    </w:p>
    <w:p w14:paraId="4B6974DE" w14:textId="22CBE576" w:rsidR="001519E1" w:rsidRPr="007A1E5C" w:rsidRDefault="001519E1" w:rsidP="001519E1">
      <w:pPr>
        <w:spacing w:line="360" w:lineRule="auto"/>
        <w:jc w:val="both"/>
        <w:rPr>
          <w:rFonts w:ascii="Times New Roman" w:hAnsi="Times New Roman" w:cs="Times New Roman"/>
          <w:b/>
          <w:bCs/>
          <w:szCs w:val="24"/>
        </w:rPr>
      </w:pPr>
      <w:r>
        <w:rPr>
          <w:rFonts w:ascii="Times New Roman" w:hAnsi="Times New Roman" w:cs="Times New Roman"/>
          <w:b/>
          <w:bCs/>
          <w:szCs w:val="24"/>
        </w:rPr>
        <w:t>D – Benin</w:t>
      </w:r>
    </w:p>
    <w:p w14:paraId="27B5366D" w14:textId="17B6CFCC"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For the year 2025, Benin</w:t>
      </w:r>
      <w:r w:rsidR="00A30047">
        <w:rPr>
          <w:rFonts w:ascii="Times New Roman" w:eastAsia="Times New Roman" w:hAnsi="Times New Roman" w:cs="Times New Roman"/>
          <w:kern w:val="0"/>
          <w:szCs w:val="24"/>
          <w:lang w:eastAsia="fr-FR"/>
          <w14:ligatures w14:val="none"/>
          <w14:numForm w14:val="default"/>
          <w14:numSpacing w14:val="default"/>
        </w:rPr>
        <w:t>’</w:t>
      </w:r>
      <w:r>
        <w:rPr>
          <w:rFonts w:ascii="Times New Roman" w:eastAsia="Times New Roman" w:hAnsi="Times New Roman" w:cs="Times New Roman"/>
          <w:kern w:val="0"/>
          <w:szCs w:val="24"/>
          <w:lang w:eastAsia="fr-FR"/>
          <w14:ligatures w14:val="none"/>
          <w14:numForm w14:val="default"/>
          <w14:numSpacing w14:val="default"/>
        </w:rPr>
        <w:t>s legal and case-law developments in the field of civil status and personal identification were marked by the continued implementation of Act 2017-08 of 19 June 2017 on the identification of persons in the Republic of Benin and</w:t>
      </w:r>
      <w:r>
        <w:rPr>
          <w:rFonts w:ascii="Calibri" w:eastAsia="Calibri" w:hAnsi="Calibri" w:cs="Calibri"/>
          <w:color w:val="000000"/>
          <w:kern w:val="0"/>
          <w:sz w:val="48"/>
          <w:szCs w:val="48"/>
          <w:lang w:eastAsia="fr-FR"/>
          <w14:ligatures w14:val="none"/>
          <w14:numForm w14:val="default"/>
          <w14:numSpacing w14:val="default"/>
        </w:rPr>
        <w:t xml:space="preserve"> </w:t>
      </w:r>
      <w:r>
        <w:rPr>
          <w:rFonts w:ascii="Times New Roman" w:eastAsia="Times New Roman" w:hAnsi="Times New Roman" w:cs="Times New Roman"/>
          <w:kern w:val="0"/>
          <w:szCs w:val="24"/>
          <w:lang w:eastAsia="fr-FR"/>
          <w14:ligatures w14:val="none"/>
          <w14:numForm w14:val="default"/>
          <w14:numSpacing w14:val="default"/>
        </w:rPr>
        <w:t>Act 2020-34 laying down special provisions for the simplification and dematerialised management of the registration of civil status facts. To this was added the adoption of a major two-part regulatory package in December 2025, which moves from a logic of registration to a logic of universalisation and securing of legal identity.</w:t>
      </w:r>
    </w:p>
    <w:p w14:paraId="6DF5BBE7" w14:textId="712495E2"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xml:space="preserve">As part of improving the universality of civil status, the Government of Benin adopted </w:t>
      </w:r>
      <w:hyperlink r:id="rId12" w:history="1">
        <w:r w:rsidR="005D7BFF" w:rsidRPr="005D7BFF">
          <w:rPr>
            <w:rStyle w:val="Lienhypertexte"/>
            <w:rFonts w:ascii="Times New Roman" w:eastAsia="Times New Roman" w:hAnsi="Times New Roman" w:cs="Times New Roman"/>
            <w:kern w:val="0"/>
            <w:szCs w:val="24"/>
            <w:lang w:eastAsia="fr-FR"/>
            <w14:ligatures w14:val="none"/>
            <w14:numForm w14:val="default"/>
            <w14:numSpacing w14:val="default"/>
          </w:rPr>
          <w:t>Decree 2025-679 of 29 October 2025 defining the practical arrangements for the derogatory civil status registration of births of children aged thirteen (13) or under and of deaths</w:t>
        </w:r>
      </w:hyperlink>
      <w:r>
        <w:rPr>
          <w:rFonts w:ascii="Times New Roman" w:eastAsia="Times New Roman" w:hAnsi="Times New Roman" w:cs="Times New Roman"/>
          <w:kern w:val="0"/>
          <w:szCs w:val="24"/>
          <w:lang w:eastAsia="fr-FR"/>
          <w14:ligatures w14:val="none"/>
          <w14:numForm w14:val="default"/>
          <w14:numSpacing w14:val="default"/>
        </w:rPr>
        <w:t>. This historic text replaces, for this target category, the judicial procedure with a purely administrative procedure that is free of charge and decentralised to the level of the 77 communes. This decree covers two catch-up operations, on a derogatory and free-of-charge basis:</w:t>
      </w:r>
    </w:p>
    <w:p w14:paraId="073671A0" w14:textId="77777777"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children aged 0 to 13 years inclusive who do not have a birth record;</w:t>
      </w:r>
    </w:p>
    <w:p w14:paraId="4EB1BF65" w14:textId="0EF0E873" w:rsidR="001519E1" w:rsidRPr="0039272C"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sidRPr="0039272C">
        <w:rPr>
          <w:rFonts w:ascii="Times New Roman" w:eastAsia="Times New Roman" w:hAnsi="Times New Roman" w:cs="Times New Roman"/>
          <w:kern w:val="0"/>
          <w:szCs w:val="24"/>
          <w:lang w:eastAsia="fr-FR"/>
          <w14:ligatures w14:val="none"/>
          <w14:numForm w14:val="default"/>
          <w14:numSpacing w14:val="default"/>
        </w:rPr>
        <w:t xml:space="preserve">- </w:t>
      </w:r>
      <w:r w:rsidR="0039272C">
        <w:rPr>
          <w:rFonts w:ascii="Times New Roman" w:hAnsi="Times New Roman" w:cs="Times New Roman"/>
        </w:rPr>
        <w:t>d</w:t>
      </w:r>
      <w:r w:rsidR="0039272C" w:rsidRPr="0039272C">
        <w:rPr>
          <w:rFonts w:ascii="Times New Roman" w:hAnsi="Times New Roman" w:cs="Times New Roman"/>
        </w:rPr>
        <w:t>eaths occurring within the national territory that were not declared within 15 days.</w:t>
      </w:r>
    </w:p>
    <w:p w14:paraId="14086F58" w14:textId="77777777"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For children aged 0 to 13, registration is made on the simple testimony of a parent and of a local elected official. No judicial procedure is required any longer. However, the territorially competent public prosecutor may also, on requisition, order the entry in the national register of a child who has not been declared to civil status and of whom he or she is aware.</w:t>
      </w:r>
    </w:p>
    <w:p w14:paraId="22A43ACB" w14:textId="3BAA665F"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xml:space="preserve">For undeclared deaths, registration is authorised even outside the legal time limit for persons entered in the national register. This </w:t>
      </w:r>
      <w:r w:rsidR="0039272C">
        <w:rPr>
          <w:rFonts w:ascii="Times New Roman" w:eastAsia="Times New Roman" w:hAnsi="Times New Roman" w:cs="Times New Roman"/>
          <w:kern w:val="0"/>
          <w:szCs w:val="24"/>
          <w:lang w:eastAsia="fr-FR"/>
          <w14:ligatures w14:val="none"/>
          <w14:numForm w14:val="default"/>
          <w14:numSpacing w14:val="default"/>
        </w:rPr>
        <w:t>Decree</w:t>
      </w:r>
      <w:r>
        <w:rPr>
          <w:rFonts w:ascii="Times New Roman" w:eastAsia="Times New Roman" w:hAnsi="Times New Roman" w:cs="Times New Roman"/>
          <w:kern w:val="0"/>
          <w:szCs w:val="24"/>
          <w:lang w:eastAsia="fr-FR"/>
          <w14:ligatures w14:val="none"/>
          <w14:numForm w14:val="default"/>
          <w14:numSpacing w14:val="default"/>
        </w:rPr>
        <w:t xml:space="preserve"> aims to</w:t>
      </w:r>
      <w:r w:rsidR="0039272C">
        <w:rPr>
          <w:rFonts w:ascii="Times New Roman" w:eastAsia="Times New Roman" w:hAnsi="Times New Roman" w:cs="Times New Roman"/>
          <w:kern w:val="0"/>
          <w:szCs w:val="24"/>
          <w:lang w:eastAsia="fr-FR"/>
          <w14:ligatures w14:val="none"/>
          <w14:numForm w14:val="default"/>
          <w14:numSpacing w14:val="default"/>
        </w:rPr>
        <w:t xml:space="preserve"> </w:t>
      </w:r>
      <w:r>
        <w:rPr>
          <w:rFonts w:ascii="Times New Roman" w:eastAsia="Times New Roman" w:hAnsi="Times New Roman" w:cs="Times New Roman"/>
          <w:kern w:val="0"/>
          <w:szCs w:val="24"/>
          <w:lang w:eastAsia="fr-FR"/>
          <w14:ligatures w14:val="none"/>
          <w14:numForm w14:val="default"/>
          <w14:numSpacing w14:val="default"/>
        </w:rPr>
        <w:t>clean up the national register, combat identity fraud and enable the updating of electoral and social lists.</w:t>
      </w:r>
    </w:p>
    <w:p w14:paraId="11703D97" w14:textId="13261884"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With Decree 2025-679, Benin made the courageous choice of replacing a long, costly and exclusionary judicial procedure with an administrative procedure that is free and inclusive, making it possible to bring thousands of children without legal identity into civil status and to guarantee every child</w:t>
      </w:r>
      <w:r w:rsidR="00A30047">
        <w:rPr>
          <w:rFonts w:ascii="Times New Roman" w:eastAsia="Times New Roman" w:hAnsi="Times New Roman" w:cs="Times New Roman"/>
          <w:kern w:val="0"/>
          <w:szCs w:val="24"/>
          <w:lang w:eastAsia="fr-FR"/>
          <w14:ligatures w14:val="none"/>
          <w14:numForm w14:val="default"/>
          <w14:numSpacing w14:val="default"/>
        </w:rPr>
        <w:t>’</w:t>
      </w:r>
      <w:r>
        <w:rPr>
          <w:rFonts w:ascii="Times New Roman" w:eastAsia="Times New Roman" w:hAnsi="Times New Roman" w:cs="Times New Roman"/>
          <w:kern w:val="0"/>
          <w:szCs w:val="24"/>
          <w:lang w:eastAsia="fr-FR"/>
          <w14:ligatures w14:val="none"/>
          <w14:numForm w14:val="default"/>
          <w14:numSpacing w14:val="default"/>
        </w:rPr>
        <w:t xml:space="preserve">s fundamental right to a legal identity, in accordance with SDG 16.9. During the pilot phase (11 and 12 September 2026) of the implementation of this decree in </w:t>
      </w:r>
      <w:proofErr w:type="spellStart"/>
      <w:r>
        <w:rPr>
          <w:rFonts w:ascii="Times New Roman" w:eastAsia="Times New Roman" w:hAnsi="Times New Roman" w:cs="Times New Roman"/>
          <w:kern w:val="0"/>
          <w:szCs w:val="24"/>
          <w:lang w:eastAsia="fr-FR"/>
          <w14:ligatures w14:val="none"/>
          <w14:numForm w14:val="default"/>
          <w14:numSpacing w14:val="default"/>
        </w:rPr>
        <w:t>Agonvè</w:t>
      </w:r>
      <w:proofErr w:type="spellEnd"/>
      <w:r>
        <w:rPr>
          <w:rFonts w:ascii="Times New Roman" w:eastAsia="Times New Roman" w:hAnsi="Times New Roman" w:cs="Times New Roman"/>
          <w:kern w:val="0"/>
          <w:szCs w:val="24"/>
          <w:lang w:eastAsia="fr-FR"/>
          <w14:ligatures w14:val="none"/>
          <w14:numForm w14:val="default"/>
          <w14:numSpacing w14:val="default"/>
        </w:rPr>
        <w:t xml:space="preserve">, a commune of </w:t>
      </w:r>
      <w:proofErr w:type="spellStart"/>
      <w:r>
        <w:rPr>
          <w:rFonts w:ascii="Times New Roman" w:eastAsia="Times New Roman" w:hAnsi="Times New Roman" w:cs="Times New Roman"/>
          <w:kern w:val="0"/>
          <w:szCs w:val="24"/>
          <w:lang w:eastAsia="fr-FR"/>
          <w14:ligatures w14:val="none"/>
          <w14:numForm w14:val="default"/>
          <w14:numSpacing w14:val="default"/>
        </w:rPr>
        <w:t>Zagnanado</w:t>
      </w:r>
      <w:proofErr w:type="spellEnd"/>
      <w:r>
        <w:rPr>
          <w:rFonts w:ascii="Times New Roman" w:eastAsia="Times New Roman" w:hAnsi="Times New Roman" w:cs="Times New Roman"/>
          <w:kern w:val="0"/>
          <w:szCs w:val="24"/>
          <w:lang w:eastAsia="fr-FR"/>
          <w14:ligatures w14:val="none"/>
          <w14:numForm w14:val="default"/>
          <w14:numSpacing w14:val="default"/>
        </w:rPr>
        <w:t xml:space="preserve"> in the Zou department of Benin, 807 children have already been registered through this derogatory procedure.</w:t>
      </w:r>
    </w:p>
    <w:p w14:paraId="19F7740B" w14:textId="07360068"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xml:space="preserve">As regards securing legal identity, the Government of Benin also adopted </w:t>
      </w:r>
      <w:hyperlink r:id="rId13" w:history="1">
        <w:r w:rsidR="005D7BFF">
          <w:rPr>
            <w:rStyle w:val="Lienhypertexte"/>
            <w:rFonts w:ascii="Times New Roman" w:eastAsia="Times New Roman" w:hAnsi="Times New Roman" w:cs="Times New Roman"/>
            <w:kern w:val="0"/>
            <w:szCs w:val="24"/>
            <w:lang w:eastAsia="fr-FR"/>
            <w14:ligatures w14:val="none"/>
            <w14:numForm w14:val="default"/>
            <w14:numSpacing w14:val="default"/>
          </w:rPr>
          <w:t>Decree 2025-678 of 29 October 2025 laying down the conditions and procedures for issuing identification documents to natural persons</w:t>
        </w:r>
      </w:hyperlink>
      <w:r>
        <w:rPr>
          <w:rFonts w:ascii="Times New Roman" w:eastAsia="Times New Roman" w:hAnsi="Times New Roman" w:cs="Times New Roman"/>
          <w:kern w:val="0"/>
          <w:szCs w:val="24"/>
          <w:lang w:eastAsia="fr-FR"/>
          <w14:ligatures w14:val="none"/>
          <w14:numForm w14:val="default"/>
          <w14:numSpacing w14:val="default"/>
        </w:rPr>
        <w:t>. Complementing the text cited above, this decree clarifies and secures the Beninese documentary ecosystem by establishing the different types of identification documents that may be issued only on the basis of entry in the national register of natural persons. These are:</w:t>
      </w:r>
    </w:p>
    <w:p w14:paraId="452B8796" w14:textId="520D2926" w:rsidR="001519E1" w:rsidRPr="005D1B84" w:rsidRDefault="00CE09DA"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personal identification certificate;</w:t>
      </w:r>
    </w:p>
    <w:p w14:paraId="31FD6B2C" w14:textId="77777777"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personal identification certificate for persons of African descent;</w:t>
      </w:r>
    </w:p>
    <w:p w14:paraId="62053D1E" w14:textId="77777777"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personal identification certificate for foreigners;</w:t>
      </w:r>
    </w:p>
    <w:p w14:paraId="7E068255" w14:textId="77777777"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biometric national identity card;</w:t>
      </w:r>
    </w:p>
    <w:p w14:paraId="5AC3004C" w14:textId="77777777"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biometric ordinary passport;</w:t>
      </w:r>
    </w:p>
    <w:p w14:paraId="05EF428C" w14:textId="77777777" w:rsidR="001519E1" w:rsidRPr="005D1B84"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resident card.</w:t>
      </w:r>
    </w:p>
    <w:p w14:paraId="018AD3BC" w14:textId="721ECDD9" w:rsidR="001519E1" w:rsidRPr="007A1E5C" w:rsidRDefault="001519E1" w:rsidP="007A1E5C">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With this 678/679 package, Benin reaffirms its commitment to a universal, secure and interoperable civil status serving the rule of law and SDG 16.9.</w:t>
      </w:r>
    </w:p>
    <w:p w14:paraId="2CF7F3AE" w14:textId="2E97016F" w:rsidR="001519E1" w:rsidRPr="00A24DD5" w:rsidRDefault="001519E1" w:rsidP="001519E1">
      <w:pPr>
        <w:spacing w:line="360" w:lineRule="auto"/>
        <w:jc w:val="both"/>
        <w:rPr>
          <w:rFonts w:ascii="Times New Roman" w:hAnsi="Times New Roman" w:cs="Times New Roman"/>
          <w:b/>
          <w:bCs/>
          <w:szCs w:val="24"/>
        </w:rPr>
      </w:pPr>
      <w:r>
        <w:rPr>
          <w:rFonts w:ascii="Times New Roman" w:hAnsi="Times New Roman" w:cs="Times New Roman"/>
          <w:b/>
          <w:bCs/>
          <w:szCs w:val="24"/>
        </w:rPr>
        <w:t>E - Moldova</w:t>
      </w:r>
    </w:p>
    <w:p w14:paraId="0CAA192A" w14:textId="29FA8B51" w:rsidR="00CE09DA" w:rsidRPr="00CE09DA" w:rsidRDefault="00CE09DA" w:rsidP="00CE09DA">
      <w:pPr>
        <w:spacing w:line="360" w:lineRule="auto"/>
        <w:jc w:val="both"/>
        <w:rPr>
          <w:rFonts w:ascii="Times New Roman" w:hAnsi="Times New Roman" w:cs="Times New Roman"/>
          <w:bCs/>
          <w:szCs w:val="24"/>
        </w:rPr>
      </w:pPr>
      <w:r>
        <w:rPr>
          <w:rFonts w:ascii="Times New Roman" w:hAnsi="Times New Roman" w:cs="Times New Roman"/>
          <w:bCs/>
          <w:szCs w:val="24"/>
        </w:rPr>
        <w:t>The Republic of Moldova has undertaken a comprehensive and fundamental reform of its civil status legislation. The new legal framework has introduced substantial changes, both conceptual and procedural, in particular as regards the electronic registration and management of civil status records, the issuance of electronic civil status documents and the digitalisation of civil status services.</w:t>
      </w:r>
    </w:p>
    <w:p w14:paraId="74942650" w14:textId="51B98CA4" w:rsidR="00CE09DA" w:rsidRPr="00A24DD5" w:rsidRDefault="00CE09DA" w:rsidP="00CE09DA">
      <w:pPr>
        <w:spacing w:line="360" w:lineRule="auto"/>
        <w:jc w:val="both"/>
        <w:rPr>
          <w:rFonts w:ascii="Times New Roman" w:hAnsi="Times New Roman" w:cs="Times New Roman"/>
          <w:bCs/>
          <w:szCs w:val="24"/>
        </w:rPr>
      </w:pPr>
      <w:r>
        <w:rPr>
          <w:rFonts w:ascii="Times New Roman" w:hAnsi="Times New Roman" w:cs="Times New Roman"/>
          <w:bCs/>
          <w:szCs w:val="24"/>
        </w:rPr>
        <w:t>In this context, the Public Services Agency has set up a new information system called “Civil Status Records”, which allows the electronic registration of civil status records and the issuance of electronic civil status documents. As a result, since 2025 the Republic of Moldova no longer registers civil status records on paper.</w:t>
      </w:r>
    </w:p>
    <w:p w14:paraId="728EC4E5" w14:textId="01F9A9E0" w:rsidR="00CE09DA" w:rsidRPr="00A51AD1" w:rsidRDefault="00CE09DA" w:rsidP="00CE09DA">
      <w:pPr>
        <w:spacing w:line="360" w:lineRule="auto"/>
        <w:jc w:val="both"/>
        <w:rPr>
          <w:rFonts w:ascii="Times New Roman" w:hAnsi="Times New Roman" w:cs="Times New Roman"/>
          <w:bCs/>
          <w:szCs w:val="24"/>
        </w:rPr>
      </w:pPr>
      <w:r>
        <w:rPr>
          <w:rFonts w:ascii="Times New Roman" w:hAnsi="Times New Roman" w:cs="Times New Roman"/>
          <w:bCs/>
          <w:szCs w:val="24"/>
        </w:rPr>
        <w:t xml:space="preserve">At the same time, civil status documents are issued in electronic form and bear the electronic signature of the Public Services Agency. Each document contains a QR code (from the English </w:t>
      </w:r>
      <w:r>
        <w:rPr>
          <w:rFonts w:ascii="Times New Roman" w:hAnsi="Times New Roman" w:cs="Times New Roman"/>
          <w:bCs/>
          <w:i/>
          <w:iCs/>
          <w:szCs w:val="24"/>
        </w:rPr>
        <w:t>Quick Response</w:t>
      </w:r>
      <w:r>
        <w:rPr>
          <w:rFonts w:ascii="Times New Roman" w:hAnsi="Times New Roman" w:cs="Times New Roman"/>
          <w:bCs/>
          <w:szCs w:val="24"/>
        </w:rPr>
        <w:t>), which makes it possible to verify its authenticity and validity by scanning the code with an electronic device. Paper civil status documents are no longer issued.</w:t>
      </w:r>
    </w:p>
    <w:p w14:paraId="6A246C84" w14:textId="77777777" w:rsidR="00CE09DA" w:rsidRPr="00A24DD5" w:rsidRDefault="00CE09DA" w:rsidP="00CE09DA">
      <w:pPr>
        <w:spacing w:line="360" w:lineRule="auto"/>
        <w:jc w:val="both"/>
        <w:rPr>
          <w:rFonts w:ascii="Times New Roman" w:hAnsi="Times New Roman" w:cs="Times New Roman"/>
          <w:bCs/>
          <w:szCs w:val="24"/>
        </w:rPr>
      </w:pPr>
      <w:r>
        <w:rPr>
          <w:rFonts w:ascii="Times New Roman" w:hAnsi="Times New Roman" w:cs="Times New Roman"/>
          <w:bCs/>
          <w:szCs w:val="24"/>
        </w:rPr>
        <w:t>As part of this transition to an electronic civil status system, the existing provisions governing the transcription of civil status records drawn up abroad have also undergone a conceptual revision. Thus, civil status events concerning citizens of the Republic of Moldova are subject to a procedure of recognition and registration in the information resources of the Public Services Agency.</w:t>
      </w:r>
    </w:p>
    <w:p w14:paraId="721FA59C" w14:textId="77777777" w:rsidR="001519E1" w:rsidRPr="00A24DD5" w:rsidRDefault="001519E1" w:rsidP="001519E1">
      <w:pPr>
        <w:spacing w:line="360" w:lineRule="auto"/>
        <w:jc w:val="both"/>
        <w:rPr>
          <w:rFonts w:ascii="Times New Roman" w:hAnsi="Times New Roman" w:cs="Times New Roman"/>
          <w:bCs/>
          <w:szCs w:val="24"/>
        </w:rPr>
      </w:pPr>
    </w:p>
    <w:p w14:paraId="6EFE7F53" w14:textId="378736CD" w:rsidR="001519E1" w:rsidRPr="00B80719" w:rsidRDefault="001519E1" w:rsidP="001519E1">
      <w:pPr>
        <w:spacing w:line="360" w:lineRule="auto"/>
        <w:jc w:val="both"/>
        <w:rPr>
          <w:rFonts w:ascii="Times New Roman" w:hAnsi="Times New Roman" w:cs="Times New Roman"/>
          <w:b/>
        </w:rPr>
      </w:pPr>
      <w:r>
        <w:rPr>
          <w:rFonts w:ascii="Times New Roman" w:hAnsi="Times New Roman" w:cs="Times New Roman"/>
          <w:b/>
          <w:szCs w:val="24"/>
        </w:rPr>
        <w:t xml:space="preserve">F - </w:t>
      </w:r>
      <w:r>
        <w:rPr>
          <w:rFonts w:ascii="Times New Roman" w:hAnsi="Times New Roman" w:cs="Times New Roman"/>
          <w:b/>
        </w:rPr>
        <w:t>Italy</w:t>
      </w:r>
    </w:p>
    <w:p w14:paraId="34679049" w14:textId="77777777" w:rsidR="001519E1" w:rsidRPr="00B80719" w:rsidRDefault="001519E1" w:rsidP="001519E1">
      <w:pPr>
        <w:spacing w:line="360" w:lineRule="auto"/>
        <w:jc w:val="both"/>
        <w:rPr>
          <w:rFonts w:ascii="Times New Roman" w:hAnsi="Times New Roman" w:cs="Times New Roman"/>
          <w:bCs/>
        </w:rPr>
      </w:pPr>
      <w:r>
        <w:rPr>
          <w:rFonts w:ascii="Times New Roman" w:hAnsi="Times New Roman" w:cs="Times New Roman"/>
          <w:b/>
          <w:bCs/>
        </w:rPr>
        <w:t>The digitalisation of registers (ANSC)</w:t>
      </w:r>
    </w:p>
    <w:p w14:paraId="04170130" w14:textId="728DBF43" w:rsidR="001519E1" w:rsidRPr="00B80719"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Italy continues the dematerialisation of its civil status system through the </w:t>
      </w:r>
      <w:proofErr w:type="spellStart"/>
      <w:r>
        <w:rPr>
          <w:rFonts w:ascii="Times New Roman" w:hAnsi="Times New Roman" w:cs="Times New Roman"/>
          <w:bCs/>
          <w:szCs w:val="24"/>
        </w:rPr>
        <w:t>Archivio</w:t>
      </w:r>
      <w:proofErr w:type="spellEnd"/>
      <w:r>
        <w:rPr>
          <w:rFonts w:ascii="Times New Roman" w:hAnsi="Times New Roman" w:cs="Times New Roman"/>
          <w:bCs/>
          <w:szCs w:val="24"/>
        </w:rPr>
        <w:t xml:space="preserve"> </w:t>
      </w:r>
      <w:proofErr w:type="spellStart"/>
      <w:r>
        <w:rPr>
          <w:rFonts w:ascii="Times New Roman" w:hAnsi="Times New Roman" w:cs="Times New Roman"/>
          <w:bCs/>
          <w:szCs w:val="24"/>
        </w:rPr>
        <w:t>nazionale</w:t>
      </w:r>
      <w:proofErr w:type="spellEnd"/>
      <w:r>
        <w:rPr>
          <w:rFonts w:ascii="Times New Roman" w:hAnsi="Times New Roman" w:cs="Times New Roman"/>
          <w:bCs/>
          <w:szCs w:val="24"/>
        </w:rPr>
        <w:t xml:space="preserve"> </w:t>
      </w:r>
      <w:proofErr w:type="spellStart"/>
      <w:r>
        <w:rPr>
          <w:rFonts w:ascii="Times New Roman" w:hAnsi="Times New Roman" w:cs="Times New Roman"/>
          <w:bCs/>
          <w:szCs w:val="24"/>
        </w:rPr>
        <w:t>informatizzato</w:t>
      </w:r>
      <w:proofErr w:type="spellEnd"/>
      <w:r>
        <w:rPr>
          <w:rFonts w:ascii="Times New Roman" w:hAnsi="Times New Roman" w:cs="Times New Roman"/>
          <w:bCs/>
          <w:szCs w:val="24"/>
        </w:rPr>
        <w:t xml:space="preserve"> </w:t>
      </w:r>
      <w:proofErr w:type="spellStart"/>
      <w:r>
        <w:rPr>
          <w:rFonts w:ascii="Times New Roman" w:hAnsi="Times New Roman" w:cs="Times New Roman"/>
          <w:bCs/>
          <w:szCs w:val="24"/>
        </w:rPr>
        <w:t>dei</w:t>
      </w:r>
      <w:proofErr w:type="spellEnd"/>
      <w:r>
        <w:rPr>
          <w:rFonts w:ascii="Times New Roman" w:hAnsi="Times New Roman" w:cs="Times New Roman"/>
          <w:bCs/>
          <w:szCs w:val="24"/>
        </w:rPr>
        <w:t xml:space="preserve"> </w:t>
      </w:r>
      <w:proofErr w:type="spellStart"/>
      <w:r>
        <w:rPr>
          <w:rFonts w:ascii="Times New Roman" w:hAnsi="Times New Roman" w:cs="Times New Roman"/>
          <w:bCs/>
          <w:szCs w:val="24"/>
        </w:rPr>
        <w:t>registri</w:t>
      </w:r>
      <w:proofErr w:type="spellEnd"/>
      <w:r>
        <w:rPr>
          <w:rFonts w:ascii="Times New Roman" w:hAnsi="Times New Roman" w:cs="Times New Roman"/>
          <w:bCs/>
          <w:szCs w:val="24"/>
        </w:rPr>
        <w:t xml:space="preserve"> </w:t>
      </w:r>
      <w:proofErr w:type="spellStart"/>
      <w:r>
        <w:rPr>
          <w:rFonts w:ascii="Times New Roman" w:hAnsi="Times New Roman" w:cs="Times New Roman"/>
          <w:bCs/>
          <w:szCs w:val="24"/>
        </w:rPr>
        <w:t>dello</w:t>
      </w:r>
      <w:proofErr w:type="spellEnd"/>
      <w:r>
        <w:rPr>
          <w:rFonts w:ascii="Times New Roman" w:hAnsi="Times New Roman" w:cs="Times New Roman"/>
          <w:bCs/>
          <w:szCs w:val="24"/>
        </w:rPr>
        <w:t xml:space="preserve"> </w:t>
      </w:r>
      <w:proofErr w:type="spellStart"/>
      <w:r>
        <w:rPr>
          <w:rFonts w:ascii="Times New Roman" w:hAnsi="Times New Roman" w:cs="Times New Roman"/>
          <w:bCs/>
          <w:szCs w:val="24"/>
        </w:rPr>
        <w:t>stato</w:t>
      </w:r>
      <w:proofErr w:type="spellEnd"/>
      <w:r>
        <w:rPr>
          <w:rFonts w:ascii="Times New Roman" w:hAnsi="Times New Roman" w:cs="Times New Roman"/>
          <w:bCs/>
          <w:szCs w:val="24"/>
        </w:rPr>
        <w:t xml:space="preserve"> civile (ANSC, the national computerised archive of civil status registers), integrated into the national register of the resident population (ANPR). Since 31 March 2026, citizens can download online, via the ANPR portal, their birth, marriage, civil union, citizenship and death certificates, definitively replacing the paper registers kept in duplicate original by each municipality. Extracts can also be requested online; they are issued in digital format, with a qualified electronic signature and a QR code making it possible to verify their authenticity. The procedures were specified by </w:t>
      </w:r>
      <w:hyperlink r:id="rId14" w:history="1">
        <w:r w:rsidR="00A178A1">
          <w:rPr>
            <w:rStyle w:val="Lienhypertexte"/>
            <w:rFonts w:ascii="Times New Roman" w:hAnsi="Times New Roman" w:cs="Times New Roman"/>
            <w:bCs/>
            <w:szCs w:val="24"/>
          </w:rPr>
          <w:t>Circular No. 37 of 1 April 2026</w:t>
        </w:r>
      </w:hyperlink>
      <w:r>
        <w:rPr>
          <w:rFonts w:ascii="Times New Roman" w:hAnsi="Times New Roman" w:cs="Times New Roman"/>
          <w:bCs/>
          <w:szCs w:val="24"/>
        </w:rPr>
        <w:t>. This service, however, concerns only records drawn up digitally since the municipality joined the ANSC.</w:t>
      </w:r>
    </w:p>
    <w:p w14:paraId="0195388D" w14:textId="77777777" w:rsidR="001519E1" w:rsidRPr="00B80719"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In spring 2026, more than 95% of municipalities had joined, covering about 90% of the population, and more than 700,000 records had already been drawn up in digital format. A 2025 circular of the Ministry of the Interior requires all municipalities to adopt the ANSC within eighteen months of 30 June 2025, that is, before 31 December 2026.</w:t>
      </w:r>
    </w:p>
    <w:p w14:paraId="54A72FD8" w14:textId="77777777" w:rsidR="001519E1" w:rsidRPr="00B80719"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 </w:t>
      </w:r>
    </w:p>
    <w:p w14:paraId="2CE35B45" w14:textId="77777777" w:rsidR="001519E1" w:rsidRPr="00FF3CEE" w:rsidRDefault="001519E1" w:rsidP="001519E1">
      <w:pPr>
        <w:spacing w:line="360" w:lineRule="auto"/>
        <w:jc w:val="both"/>
        <w:rPr>
          <w:rFonts w:ascii="Times New Roman" w:hAnsi="Times New Roman" w:cs="Times New Roman"/>
          <w:b/>
          <w:szCs w:val="24"/>
          <w:u w:val="single"/>
        </w:rPr>
      </w:pPr>
      <w:r>
        <w:rPr>
          <w:rFonts w:ascii="Times New Roman" w:hAnsi="Times New Roman" w:cs="Times New Roman"/>
          <w:b/>
          <w:szCs w:val="24"/>
          <w:u w:val="single"/>
        </w:rPr>
        <w:t>II – Elements of identification of persons</w:t>
      </w:r>
    </w:p>
    <w:p w14:paraId="2931374A" w14:textId="77777777" w:rsidR="001519E1" w:rsidRPr="00FF3CEE" w:rsidRDefault="001519E1" w:rsidP="001519E1">
      <w:pPr>
        <w:spacing w:line="360" w:lineRule="auto"/>
        <w:jc w:val="both"/>
        <w:rPr>
          <w:rFonts w:ascii="Times New Roman" w:hAnsi="Times New Roman" w:cs="Times New Roman"/>
          <w:szCs w:val="24"/>
        </w:rPr>
      </w:pPr>
    </w:p>
    <w:p w14:paraId="3624709B" w14:textId="6D2532D9" w:rsidR="001519E1" w:rsidRPr="007A1E5C"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A – Switzerland</w:t>
      </w:r>
    </w:p>
    <w:p w14:paraId="2F00B3D1" w14:textId="77777777" w:rsidR="001519E1" w:rsidRPr="009B468B" w:rsidRDefault="001519E1" w:rsidP="001519E1">
      <w:pPr>
        <w:spacing w:line="360" w:lineRule="auto"/>
        <w:jc w:val="both"/>
        <w:rPr>
          <w:rFonts w:ascii="Times New Roman" w:hAnsi="Times New Roman" w:cs="Times New Roman"/>
          <w:b/>
          <w:bCs/>
          <w:szCs w:val="24"/>
        </w:rPr>
      </w:pPr>
      <w:r>
        <w:rPr>
          <w:rFonts w:ascii="Times New Roman" w:hAnsi="Times New Roman" w:cs="Times New Roman"/>
          <w:b/>
          <w:bCs/>
          <w:szCs w:val="24"/>
        </w:rPr>
        <w:t>Capacity of judgment in connection with a declaration of change of sex</w:t>
      </w:r>
    </w:p>
    <w:p w14:paraId="48FF13AB" w14:textId="77777777" w:rsidR="001519E1"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In its published judgment (</w:t>
      </w:r>
      <w:hyperlink r:id="rId15" w:history="1">
        <w:r>
          <w:rPr>
            <w:rStyle w:val="Lienhypertexte"/>
            <w:rFonts w:ascii="Times New Roman" w:hAnsi="Times New Roman" w:cs="Times New Roman"/>
            <w:bCs/>
            <w:szCs w:val="24"/>
          </w:rPr>
          <w:t>ATF 151 III 1</w:t>
        </w:r>
      </w:hyperlink>
      <w:r>
        <w:rPr>
          <w:rFonts w:ascii="Times New Roman" w:hAnsi="Times New Roman" w:cs="Times New Roman"/>
          <w:bCs/>
          <w:szCs w:val="24"/>
        </w:rPr>
        <w:t>), delivered on 6 November 2024, the Federal Supreme Court ruled as follows. As adopted, Article 30</w:t>
      </w:r>
      <w:r>
        <w:rPr>
          <w:rFonts w:ascii="Times New Roman" w:hAnsi="Times New Roman" w:cs="Times New Roman"/>
          <w:bCs/>
          <w:i/>
          <w:iCs/>
          <w:szCs w:val="24"/>
        </w:rPr>
        <w:t>b</w:t>
      </w:r>
      <w:r>
        <w:rPr>
          <w:rFonts w:ascii="Times New Roman" w:hAnsi="Times New Roman" w:cs="Times New Roman"/>
          <w:bCs/>
          <w:szCs w:val="24"/>
        </w:rPr>
        <w:t xml:space="preserve"> of the </w:t>
      </w:r>
      <w:hyperlink r:id="rId16" w:history="1">
        <w:r>
          <w:rPr>
            <w:rStyle w:val="Lienhypertexte"/>
            <w:rFonts w:ascii="Times New Roman" w:hAnsi="Times New Roman" w:cs="Times New Roman"/>
            <w:bCs/>
            <w:szCs w:val="24"/>
          </w:rPr>
          <w:t>Swiss Civil Code </w:t>
        </w:r>
      </w:hyperlink>
      <w:r>
        <w:rPr>
          <w:rFonts w:ascii="Times New Roman" w:hAnsi="Times New Roman" w:cs="Times New Roman"/>
          <w:bCs/>
          <w:szCs w:val="24"/>
        </w:rPr>
        <w:t xml:space="preserve"> introduces a simple and rapid procedure for changing sex in civil status, based on self-determination. Capacity of judgment is presumed; it must nevertheless be verified </w:t>
      </w:r>
      <w:r w:rsidRPr="00216AF9">
        <w:rPr>
          <w:rFonts w:ascii="Times New Roman" w:hAnsi="Times New Roman" w:cs="Times New Roman"/>
          <w:bCs/>
          <w:i/>
          <w:iCs/>
          <w:szCs w:val="24"/>
        </w:rPr>
        <w:t>ex officio</w:t>
      </w:r>
      <w:r>
        <w:rPr>
          <w:rFonts w:ascii="Times New Roman" w:hAnsi="Times New Roman" w:cs="Times New Roman"/>
          <w:bCs/>
          <w:szCs w:val="24"/>
        </w:rPr>
        <w:t xml:space="preserve"> by the civil registrar, who, in case of objective doubt, may require the person concerned, in particular a minor, to provide a medical certificate confirming that he or she has the capacities required to file a declaration of change of sex.</w:t>
      </w:r>
    </w:p>
    <w:p w14:paraId="7CA2708B" w14:textId="77777777" w:rsidR="001519E1" w:rsidRPr="004E28AD" w:rsidRDefault="00A24DD5" w:rsidP="001519E1">
      <w:pPr>
        <w:spacing w:before="0" w:after="0" w:line="360" w:lineRule="auto"/>
        <w:jc w:val="both"/>
        <w:rPr>
          <w:rFonts w:ascii="Times New Roman" w:eastAsia="Times New Roman" w:hAnsi="Times New Roman" w:cs="Times New Roman"/>
          <w:kern w:val="0"/>
          <w:szCs w:val="24"/>
          <w:lang w:eastAsia="de-CH"/>
          <w14:ligatures w14:val="none"/>
          <w14:numForm w14:val="default"/>
          <w14:numSpacing w14:val="default"/>
        </w:rPr>
      </w:pPr>
      <w:hyperlink r:id="rId17" w:history="1">
        <w:bookmarkStart w:id="0" w:name="_Hlk242784089"/>
        <w:r>
          <w:rPr>
            <w:rStyle w:val="Lienhypertexte"/>
            <w:rFonts w:ascii="Times New Roman" w:eastAsia="Times New Roman" w:hAnsi="Times New Roman" w:cs="Times New Roman"/>
            <w:kern w:val="0"/>
            <w:szCs w:val="24"/>
            <w:lang w:eastAsia="de-CH"/>
            <w14:ligatures w14:val="none"/>
            <w14:numForm w14:val="default"/>
            <w14:numSpacing w14:val="default"/>
          </w:rPr>
          <w:t>The Directive of the Federal Office of Civil Status (FOCS/OFEC) No. 10.22.01.01 on Change of Sex in Civil Status</w:t>
        </w:r>
        <w:bookmarkEnd w:id="0"/>
        <w:r>
          <w:rPr>
            <w:rStyle w:val="Lienhypertexte"/>
            <w:rFonts w:ascii="Times New Roman" w:eastAsia="Times New Roman" w:hAnsi="Times New Roman" w:cs="Times New Roman"/>
            <w:kern w:val="0"/>
            <w:szCs w:val="24"/>
            <w:lang w:eastAsia="de-CH"/>
            <w14:ligatures w14:val="none"/>
            <w14:numForm w14:val="default"/>
            <w14:numSpacing w14:val="default"/>
          </w:rPr>
          <w:t xml:space="preserve"> </w:t>
        </w:r>
      </w:hyperlink>
      <w:r>
        <w:rPr>
          <w:rFonts w:ascii="Times New Roman" w:eastAsia="Times New Roman" w:hAnsi="Times New Roman" w:cs="Times New Roman"/>
          <w:kern w:val="0"/>
          <w:szCs w:val="24"/>
          <w:lang w:eastAsia="de-CH"/>
          <w14:ligatures w14:val="none"/>
          <w14:numForm w14:val="default"/>
          <w14:numSpacing w14:val="default"/>
        </w:rPr>
        <w:t>takes ATF 151 III 1 into account.</w:t>
      </w:r>
    </w:p>
    <w:p w14:paraId="7EC47423" w14:textId="77777777" w:rsidR="001519E1" w:rsidRPr="00322EEF" w:rsidRDefault="001519E1" w:rsidP="001519E1">
      <w:pPr>
        <w:spacing w:line="360" w:lineRule="auto"/>
        <w:jc w:val="both"/>
        <w:rPr>
          <w:rFonts w:ascii="Times New Roman" w:hAnsi="Times New Roman" w:cs="Times New Roman"/>
          <w:b/>
          <w:bCs/>
          <w:szCs w:val="24"/>
        </w:rPr>
      </w:pPr>
      <w:r>
        <w:rPr>
          <w:rFonts w:ascii="Times New Roman" w:hAnsi="Times New Roman" w:cs="Times New Roman"/>
          <w:b/>
          <w:bCs/>
          <w:szCs w:val="24"/>
        </w:rPr>
        <w:t xml:space="preserve">Non-binary persons </w:t>
      </w:r>
    </w:p>
    <w:p w14:paraId="51A8556E" w14:textId="77777777" w:rsidR="001519E1" w:rsidRPr="00322EEF" w:rsidRDefault="001519E1" w:rsidP="001519E1">
      <w:pPr>
        <w:spacing w:line="360" w:lineRule="auto"/>
        <w:jc w:val="both"/>
        <w:rPr>
          <w:rFonts w:ascii="Times New Roman" w:hAnsi="Times New Roman" w:cs="Times New Roman"/>
        </w:rPr>
      </w:pPr>
      <w:r>
        <w:rPr>
          <w:rFonts w:ascii="Times New Roman" w:hAnsi="Times New Roman" w:cs="Times New Roman"/>
        </w:rPr>
        <w:t xml:space="preserve">On 26 November 2025, the Federal Council published its report in response to postulate </w:t>
      </w:r>
      <w:hyperlink r:id="rId18" w:history="1">
        <w:r>
          <w:rPr>
            <w:rStyle w:val="Lienhypertexte"/>
            <w:rFonts w:ascii="Times New Roman" w:hAnsi="Times New Roman" w:cs="Times New Roman"/>
          </w:rPr>
          <w:t>23.3501</w:t>
        </w:r>
      </w:hyperlink>
      <w:r>
        <w:rPr>
          <w:rFonts w:ascii="Times New Roman" w:hAnsi="Times New Roman" w:cs="Times New Roman"/>
        </w:rPr>
        <w:t xml:space="preserve"> “Improving the situation of non-binary persons”. In recent years, issues relating to non-binarity have gained importance in society and in the political world. Various developments are emerging in the way gender identity diversity is approached, as well as a growing awareness of the concerns of non-binary persons. In this report, the Confederation for the first time provides an overview of the situation of non-binary persons and highlights a large number of measures that would improve their situation. This work thus contributes to the visibility of the needs of non-binary persons and serves as a basis for continuing the discussions under way in society and in political circles. </w:t>
      </w:r>
    </w:p>
    <w:p w14:paraId="41E23A66" w14:textId="77777777" w:rsidR="001519E1" w:rsidRPr="004E28AD" w:rsidRDefault="001519E1" w:rsidP="001519E1">
      <w:pPr>
        <w:spacing w:line="360" w:lineRule="auto"/>
        <w:jc w:val="both"/>
        <w:rPr>
          <w:rFonts w:ascii="Times New Roman" w:hAnsi="Times New Roman" w:cs="Times New Roman"/>
        </w:rPr>
      </w:pPr>
      <w:r>
        <w:rPr>
          <w:rFonts w:ascii="Times New Roman" w:hAnsi="Times New Roman" w:cs="Times New Roman"/>
        </w:rPr>
        <w:t>The report addresses the various areas of law and the many aspects of life in which non-binary persons encounter difficulties because of their gender identity. By way of a stocktaking, the report shows that Switzerland is already taking or studying measures that could improve the situation of non-binary persons in various areas. This work confirmed that the binary nature of the legal order and of certain social traditions can cause various difficulties for non-binary persons. Equal treatment and the elimination of all forms of violence and discrimination, in particular based on gender, are priorities of the Federal Council, which is in favour of the requests of non-binary persons being taken into account.</w:t>
      </w:r>
    </w:p>
    <w:p w14:paraId="1EE721F0" w14:textId="77777777" w:rsidR="001519E1" w:rsidRPr="00322EEF" w:rsidRDefault="001519E1" w:rsidP="001519E1">
      <w:pPr>
        <w:spacing w:line="360" w:lineRule="auto"/>
        <w:jc w:val="both"/>
        <w:rPr>
          <w:rFonts w:ascii="Times New Roman" w:hAnsi="Times New Roman" w:cs="Times New Roman"/>
          <w:b/>
          <w:bCs/>
          <w:szCs w:val="24"/>
        </w:rPr>
      </w:pPr>
      <w:r>
        <w:rPr>
          <w:rFonts w:ascii="Times New Roman" w:hAnsi="Times New Roman" w:cs="Times New Roman"/>
          <w:b/>
          <w:bCs/>
          <w:szCs w:val="24"/>
        </w:rPr>
        <w:t>Name</w:t>
      </w:r>
    </w:p>
    <w:p w14:paraId="3FAE7F56" w14:textId="03479B80" w:rsidR="001519E1" w:rsidRPr="00322EEF"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The new name law was adopted by Parliament on 20 March 2026 following initiative </w:t>
      </w:r>
      <w:hyperlink r:id="rId19" w:history="1">
        <w:r>
          <w:rPr>
            <w:rStyle w:val="Lienhypertexte"/>
            <w:rFonts w:ascii="Times New Roman" w:hAnsi="Times New Roman" w:cs="Times New Roman"/>
            <w:bCs/>
            <w:szCs w:val="24"/>
          </w:rPr>
          <w:t>17.5223 Stamm I Allow double names in case of marriage</w:t>
        </w:r>
      </w:hyperlink>
      <w:r>
        <w:rPr>
          <w:rFonts w:ascii="Times New Roman" w:hAnsi="Times New Roman" w:cs="Times New Roman"/>
          <w:bCs/>
          <w:szCs w:val="24"/>
        </w:rPr>
        <w:t>. The referendum period runs until 9 July 2026. Entry into force is planned for 1</w:t>
      </w:r>
      <w:r>
        <w:rPr>
          <w:rFonts w:ascii="Times New Roman" w:hAnsi="Times New Roman" w:cs="Times New Roman"/>
          <w:bCs/>
          <w:szCs w:val="24"/>
          <w:vertAlign w:val="superscript"/>
        </w:rPr>
        <w:t>st</w:t>
      </w:r>
      <w:r>
        <w:rPr>
          <w:rFonts w:ascii="Times New Roman" w:hAnsi="Times New Roman" w:cs="Times New Roman"/>
          <w:bCs/>
          <w:szCs w:val="24"/>
        </w:rPr>
        <w:t xml:space="preserve"> January 2027. </w:t>
      </w:r>
    </w:p>
    <w:p w14:paraId="2457E8C6" w14:textId="77777777" w:rsidR="001519E1" w:rsidRPr="00322EEF"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The main changes are as follows: both spouses will be able to bear </w:t>
      </w:r>
      <w:r>
        <w:rPr>
          <w:rFonts w:ascii="Times New Roman" w:hAnsi="Times New Roman" w:cs="Times New Roman"/>
          <w:bCs/>
          <w:i/>
          <w:iCs/>
          <w:szCs w:val="24"/>
        </w:rPr>
        <w:t>a double name</w:t>
      </w:r>
      <w:r>
        <w:rPr>
          <w:rFonts w:ascii="Times New Roman" w:hAnsi="Times New Roman" w:cs="Times New Roman"/>
          <w:bCs/>
          <w:szCs w:val="24"/>
        </w:rPr>
        <w:t xml:space="preserve">. The </w:t>
      </w:r>
      <w:r>
        <w:rPr>
          <w:rFonts w:ascii="Times New Roman" w:hAnsi="Times New Roman" w:cs="Times New Roman"/>
          <w:bCs/>
          <w:i/>
          <w:iCs/>
          <w:szCs w:val="24"/>
        </w:rPr>
        <w:t>“alliance name”</w:t>
      </w:r>
      <w:r>
        <w:rPr>
          <w:rFonts w:ascii="Times New Roman" w:hAnsi="Times New Roman" w:cs="Times New Roman"/>
          <w:bCs/>
          <w:szCs w:val="24"/>
        </w:rPr>
        <w:t xml:space="preserve"> (a name of use not entered in civil status) entered in identity documents is abolished. </w:t>
      </w:r>
    </w:p>
    <w:p w14:paraId="5B89C84C" w14:textId="77777777" w:rsidR="001519E1" w:rsidRPr="00322EEF"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The notion of </w:t>
      </w:r>
      <w:r>
        <w:rPr>
          <w:rFonts w:ascii="Times New Roman" w:hAnsi="Times New Roman" w:cs="Times New Roman"/>
          <w:bCs/>
          <w:i/>
          <w:iCs/>
          <w:szCs w:val="24"/>
        </w:rPr>
        <w:t>premarital name</w:t>
      </w:r>
      <w:r>
        <w:rPr>
          <w:rFonts w:ascii="Times New Roman" w:hAnsi="Times New Roman" w:cs="Times New Roman"/>
          <w:bCs/>
          <w:szCs w:val="24"/>
        </w:rPr>
        <w:t xml:space="preserve"> (nom de </w:t>
      </w:r>
      <w:proofErr w:type="spellStart"/>
      <w:r>
        <w:rPr>
          <w:rFonts w:ascii="Times New Roman" w:hAnsi="Times New Roman" w:cs="Times New Roman"/>
          <w:bCs/>
          <w:szCs w:val="24"/>
        </w:rPr>
        <w:t>célibataire</w:t>
      </w:r>
      <w:proofErr w:type="spellEnd"/>
      <w:r>
        <w:rPr>
          <w:rFonts w:ascii="Times New Roman" w:hAnsi="Times New Roman" w:cs="Times New Roman"/>
          <w:bCs/>
          <w:szCs w:val="24"/>
        </w:rPr>
        <w:t xml:space="preserve">) is abolished from the legislation (the notion of “name” will be used instead). The </w:t>
      </w:r>
      <w:r>
        <w:rPr>
          <w:rFonts w:ascii="Times New Roman" w:hAnsi="Times New Roman" w:cs="Times New Roman"/>
          <w:bCs/>
          <w:i/>
          <w:iCs/>
          <w:szCs w:val="24"/>
        </w:rPr>
        <w:t>common</w:t>
      </w:r>
      <w:r>
        <w:rPr>
          <w:rFonts w:ascii="Times New Roman" w:hAnsi="Times New Roman" w:cs="Times New Roman"/>
          <w:bCs/>
          <w:szCs w:val="24"/>
        </w:rPr>
        <w:t xml:space="preserve"> family name is maintained for couples. Children and unmarried persons are not affected by this legislative change. Resumption of a name after the dissolution of a marriage is also liberalised. It will be possible to choose a name borne before the marriage. The </w:t>
      </w:r>
      <w:hyperlink r:id="rId20" w:history="1">
        <w:r>
          <w:rPr>
            <w:rStyle w:val="Lienhypertexte"/>
            <w:rFonts w:ascii="Times New Roman" w:hAnsi="Times New Roman" w:cs="Times New Roman"/>
            <w:bCs/>
            <w:szCs w:val="24"/>
          </w:rPr>
          <w:t>Civil Status Ordinance (OEC)</w:t>
        </w:r>
      </w:hyperlink>
      <w:r>
        <w:rPr>
          <w:rFonts w:ascii="Times New Roman" w:hAnsi="Times New Roman" w:cs="Times New Roman"/>
          <w:bCs/>
          <w:szCs w:val="24"/>
        </w:rPr>
        <w:t xml:space="preserve"> will be adapted accordingly, as will the related directives. </w:t>
      </w:r>
    </w:p>
    <w:p w14:paraId="4FD5F9AE" w14:textId="77777777" w:rsidR="001519E1" w:rsidRPr="00322EEF"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Close cooperation is also being implemented with the Federal Office of Police (</w:t>
      </w:r>
      <w:proofErr w:type="spellStart"/>
      <w:r>
        <w:rPr>
          <w:rFonts w:ascii="Times New Roman" w:hAnsi="Times New Roman" w:cs="Times New Roman"/>
          <w:bCs/>
          <w:szCs w:val="24"/>
        </w:rPr>
        <w:t>Fedpol</w:t>
      </w:r>
      <w:proofErr w:type="spellEnd"/>
      <w:r>
        <w:rPr>
          <w:rFonts w:ascii="Times New Roman" w:hAnsi="Times New Roman" w:cs="Times New Roman"/>
          <w:bCs/>
          <w:szCs w:val="24"/>
        </w:rPr>
        <w:t>) for the production of future identity documents (passports and identity cards).</w:t>
      </w:r>
    </w:p>
    <w:p w14:paraId="5ED85B88" w14:textId="77777777" w:rsidR="001519E1" w:rsidRDefault="001519E1" w:rsidP="001519E1">
      <w:pPr>
        <w:spacing w:line="360" w:lineRule="auto"/>
        <w:jc w:val="both"/>
        <w:rPr>
          <w:rFonts w:ascii="Times New Roman" w:hAnsi="Times New Roman" w:cs="Times New Roman"/>
          <w:b/>
          <w:szCs w:val="24"/>
        </w:rPr>
      </w:pPr>
    </w:p>
    <w:p w14:paraId="7CE22597" w14:textId="648AE129" w:rsidR="001519E1" w:rsidRPr="00A24DD5"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B – Moldova</w:t>
      </w:r>
    </w:p>
    <w:p w14:paraId="0AC90C38" w14:textId="4EA86386" w:rsidR="001519E1" w:rsidRPr="00A51AD1" w:rsidRDefault="00A51AD1" w:rsidP="001519E1">
      <w:pPr>
        <w:spacing w:line="360" w:lineRule="auto"/>
        <w:jc w:val="both"/>
        <w:rPr>
          <w:rFonts w:ascii="Times New Roman" w:hAnsi="Times New Roman" w:cs="Times New Roman"/>
          <w:bCs/>
          <w:szCs w:val="24"/>
        </w:rPr>
      </w:pPr>
      <w:r>
        <w:rPr>
          <w:rFonts w:ascii="Times New Roman" w:hAnsi="Times New Roman" w:cs="Times New Roman"/>
          <w:bCs/>
          <w:szCs w:val="24"/>
        </w:rPr>
        <w:t>As regards changes of name, it should be specified that, under the legal framework currently in force, a change of name does not entail any modification of civil status records drawn up previously.</w:t>
      </w:r>
    </w:p>
    <w:p w14:paraId="5DE66548" w14:textId="77777777" w:rsidR="001519E1" w:rsidRPr="00A51AD1" w:rsidRDefault="001519E1" w:rsidP="001519E1">
      <w:pPr>
        <w:spacing w:line="360" w:lineRule="auto"/>
        <w:jc w:val="both"/>
        <w:rPr>
          <w:rFonts w:ascii="Times New Roman" w:hAnsi="Times New Roman" w:cs="Times New Roman"/>
          <w:b/>
          <w:szCs w:val="24"/>
        </w:rPr>
      </w:pPr>
    </w:p>
    <w:p w14:paraId="6AC86A0C" w14:textId="77777777" w:rsidR="001519E1" w:rsidRPr="00B80719"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C – Netherlands</w:t>
      </w:r>
    </w:p>
    <w:p w14:paraId="259947F8" w14:textId="77777777" w:rsidR="001519E1" w:rsidRPr="00FD0378"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Two points should be mentioned.</w:t>
      </w:r>
    </w:p>
    <w:p w14:paraId="046AC772" w14:textId="77777777" w:rsidR="001519E1" w:rsidRPr="00BF0BCE"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Change of the sex entry in the birth record</w:t>
      </w:r>
    </w:p>
    <w:p w14:paraId="0F72056F" w14:textId="77777777" w:rsidR="001519E1" w:rsidRPr="00132DAD"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A draft act had been prepared to simplify the procedure for changing the sex entry in the birth record. Currently, a minimum age of sixteen is required in order to start the procedure for amending the birth record with the civil registrar, and a statement from a specialist (doctor or psychologist) must be presented attesting that the person concerned has the lasting conviction of belonging to the sex other than that indicated on his or her birth record and that the person is well aware of the consequences that such an amendment of the birth record entails. The draft act was indeed discussed but, in view of the great difference between the existing points of view, it was withdrawn. The government is currently exploring the possibilities for a new draft act to facilitate the procedure for amending the sex entry in the birth record.</w:t>
      </w:r>
    </w:p>
    <w:p w14:paraId="24471C76" w14:textId="77777777" w:rsidR="001519E1" w:rsidRPr="00BF0BCE"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Entry of “x” for sex in the birth record</w:t>
      </w:r>
    </w:p>
    <w:p w14:paraId="571BA9FE" w14:textId="77777777" w:rsidR="001519E1" w:rsidRPr="00BF0BCE"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Several courts have allowed non-binary persons to have the sex entry in their birth record changed to “x” and, where applicable, to change their first name as well. There is, however, no legal basis for this case law.</w:t>
      </w:r>
    </w:p>
    <w:p w14:paraId="5B5547EB" w14:textId="77777777" w:rsidR="001519E1" w:rsidRPr="00FF3CEE" w:rsidRDefault="001519E1" w:rsidP="001519E1">
      <w:pPr>
        <w:spacing w:line="360" w:lineRule="auto"/>
        <w:jc w:val="both"/>
        <w:rPr>
          <w:rFonts w:ascii="Times New Roman" w:hAnsi="Times New Roman" w:cs="Times New Roman"/>
          <w:b/>
          <w:szCs w:val="24"/>
        </w:rPr>
      </w:pPr>
    </w:p>
    <w:p w14:paraId="71B4E99F" w14:textId="0E057AE0" w:rsidR="001519E1" w:rsidRPr="00A923F1" w:rsidRDefault="007A1E5C" w:rsidP="001519E1">
      <w:pPr>
        <w:spacing w:line="360" w:lineRule="auto"/>
        <w:jc w:val="both"/>
        <w:rPr>
          <w:rFonts w:ascii="Times New Roman" w:hAnsi="Times New Roman" w:cs="Times New Roman"/>
          <w:b/>
          <w:bCs/>
          <w:szCs w:val="24"/>
        </w:rPr>
      </w:pPr>
      <w:r>
        <w:rPr>
          <w:rFonts w:ascii="Times New Roman" w:hAnsi="Times New Roman" w:cs="Times New Roman"/>
          <w:b/>
          <w:bCs/>
          <w:szCs w:val="24"/>
        </w:rPr>
        <w:t>D – Romania</w:t>
      </w:r>
    </w:p>
    <w:p w14:paraId="54573CF9" w14:textId="2978790E" w:rsidR="00A51AD1" w:rsidRPr="00A51AD1" w:rsidRDefault="00A51AD1" w:rsidP="00A51AD1">
      <w:pPr>
        <w:spacing w:line="360" w:lineRule="auto"/>
        <w:jc w:val="both"/>
        <w:rPr>
          <w:rFonts w:ascii="Times New Roman" w:hAnsi="Times New Roman" w:cs="Times New Roman"/>
          <w:szCs w:val="24"/>
        </w:rPr>
      </w:pPr>
      <w:r>
        <w:rPr>
          <w:rFonts w:ascii="Times New Roman" w:hAnsi="Times New Roman" w:cs="Times New Roman"/>
          <w:szCs w:val="24"/>
        </w:rPr>
        <w:t>As regards recent case law in Romania, it is worth mentioning the judgment delivered on 4 October 2024 by the Court of Justice of the European Union in Case C-4/23, Mirin. This judgment requires, in essence, the Member States of the European Union to recognise changes of first name and gender lawfully acquired in another Member State, including where these result from an administrative procedure, contrary to the rules applicable in Romania, which require a judicial decision.</w:t>
      </w:r>
    </w:p>
    <w:p w14:paraId="31CAF001" w14:textId="33DCC602" w:rsidR="00A51AD1" w:rsidRPr="00A51AD1" w:rsidRDefault="00A51AD1" w:rsidP="00A51AD1">
      <w:pPr>
        <w:spacing w:line="360" w:lineRule="auto"/>
        <w:jc w:val="both"/>
        <w:rPr>
          <w:rFonts w:ascii="Times New Roman" w:hAnsi="Times New Roman" w:cs="Times New Roman"/>
          <w:szCs w:val="24"/>
        </w:rPr>
      </w:pPr>
      <w:r>
        <w:rPr>
          <w:rFonts w:ascii="Times New Roman" w:hAnsi="Times New Roman" w:cs="Times New Roman"/>
          <w:szCs w:val="24"/>
        </w:rPr>
        <w:t>Following this judgment of the Court of Justice, the Romanian court that had referred a question for a preliminary ruling to the latter concluded that the national authorities had to take the necessary measures to recognise these changes as such, transcribe them in the national civil status registers and consequently issue a new birth record, even though the national legal framework required a judicial decision in the case at hand.</w:t>
      </w:r>
    </w:p>
    <w:p w14:paraId="44735E24" w14:textId="559F4BBB" w:rsidR="001519E1" w:rsidRPr="00A923F1" w:rsidRDefault="00A51AD1" w:rsidP="00A51AD1">
      <w:pPr>
        <w:spacing w:line="360" w:lineRule="auto"/>
        <w:jc w:val="both"/>
        <w:rPr>
          <w:rFonts w:ascii="Times New Roman" w:hAnsi="Times New Roman" w:cs="Times New Roman"/>
          <w:szCs w:val="24"/>
        </w:rPr>
      </w:pPr>
      <w:r>
        <w:rPr>
          <w:rFonts w:ascii="Times New Roman" w:hAnsi="Times New Roman" w:cs="Times New Roman"/>
          <w:szCs w:val="24"/>
        </w:rPr>
        <w:t>The decision is final after exhaustion of remedies. The European Commission is monitoring the measures implemented by Romania to bring its national legislation into line with European Union law.</w:t>
      </w:r>
    </w:p>
    <w:p w14:paraId="4DAA540D" w14:textId="2E4234B4" w:rsidR="007A1E5C" w:rsidRDefault="007A1E5C" w:rsidP="001519E1">
      <w:pPr>
        <w:spacing w:line="360" w:lineRule="auto"/>
        <w:jc w:val="both"/>
        <w:rPr>
          <w:rFonts w:ascii="Times New Roman" w:hAnsi="Times New Roman" w:cs="Times New Roman"/>
          <w:szCs w:val="24"/>
        </w:rPr>
      </w:pPr>
    </w:p>
    <w:p w14:paraId="3CECA8D8" w14:textId="5E163CEF" w:rsidR="00216AF9" w:rsidRDefault="00216AF9" w:rsidP="001519E1">
      <w:pPr>
        <w:spacing w:line="360" w:lineRule="auto"/>
        <w:jc w:val="both"/>
        <w:rPr>
          <w:rFonts w:ascii="Times New Roman" w:hAnsi="Times New Roman" w:cs="Times New Roman"/>
          <w:szCs w:val="24"/>
        </w:rPr>
      </w:pPr>
    </w:p>
    <w:p w14:paraId="162C8E32" w14:textId="77777777" w:rsidR="00216AF9" w:rsidRPr="00A24DD5" w:rsidRDefault="00216AF9" w:rsidP="001519E1">
      <w:pPr>
        <w:spacing w:line="360" w:lineRule="auto"/>
        <w:jc w:val="both"/>
        <w:rPr>
          <w:rFonts w:ascii="Times New Roman" w:hAnsi="Times New Roman" w:cs="Times New Roman"/>
          <w:szCs w:val="24"/>
        </w:rPr>
      </w:pPr>
    </w:p>
    <w:p w14:paraId="3BD07AC0" w14:textId="3EECC939" w:rsidR="007A1E5C" w:rsidRPr="007A1E5C" w:rsidRDefault="001519E1" w:rsidP="001519E1">
      <w:pPr>
        <w:spacing w:line="360" w:lineRule="auto"/>
        <w:jc w:val="both"/>
        <w:rPr>
          <w:rFonts w:ascii="Times New Roman" w:hAnsi="Times New Roman" w:cs="Times New Roman"/>
          <w:b/>
          <w:szCs w:val="24"/>
          <w:u w:val="single"/>
        </w:rPr>
      </w:pPr>
      <w:r>
        <w:rPr>
          <w:rFonts w:ascii="Times New Roman" w:hAnsi="Times New Roman" w:cs="Times New Roman"/>
          <w:b/>
          <w:szCs w:val="24"/>
          <w:u w:val="single"/>
        </w:rPr>
        <w:t>III – Parentage</w:t>
      </w:r>
    </w:p>
    <w:p w14:paraId="09734B83" w14:textId="77777777" w:rsidR="007A1E5C" w:rsidRDefault="007A1E5C" w:rsidP="001519E1">
      <w:pPr>
        <w:spacing w:line="360" w:lineRule="auto"/>
        <w:jc w:val="both"/>
        <w:rPr>
          <w:rFonts w:ascii="Times New Roman" w:hAnsi="Times New Roman" w:cs="Times New Roman"/>
          <w:b/>
          <w:szCs w:val="24"/>
        </w:rPr>
      </w:pPr>
    </w:p>
    <w:p w14:paraId="031CD3CC" w14:textId="1A6756A2" w:rsidR="001519E1"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 xml:space="preserve">A – Switzerland </w:t>
      </w:r>
    </w:p>
    <w:p w14:paraId="03F5F402" w14:textId="77777777" w:rsidR="001519E1" w:rsidRPr="00CD6791" w:rsidRDefault="001519E1" w:rsidP="001519E1">
      <w:pPr>
        <w:spacing w:before="0" w:after="0" w:line="360" w:lineRule="auto"/>
        <w:jc w:val="both"/>
        <w:rPr>
          <w:rFonts w:ascii="Times New Roman" w:eastAsia="Times New Roman" w:hAnsi="Times New Roman" w:cs="Times New Roman"/>
          <w:b/>
          <w:bCs/>
          <w:kern w:val="0"/>
          <w:szCs w:val="24"/>
          <w:lang w:eastAsia="de-CH"/>
          <w14:ligatures w14:val="none"/>
          <w14:numForm w14:val="default"/>
          <w14:numSpacing w14:val="default"/>
        </w:rPr>
      </w:pPr>
      <w:r>
        <w:rPr>
          <w:rFonts w:ascii="Times New Roman" w:eastAsia="Times New Roman" w:hAnsi="Times New Roman" w:cs="Times New Roman"/>
          <w:b/>
          <w:bCs/>
          <w:kern w:val="0"/>
          <w:szCs w:val="24"/>
          <w:lang w:eastAsia="de-CH"/>
          <w14:ligatures w14:val="none"/>
          <w14:numForm w14:val="default"/>
          <w14:numSpacing w14:val="default"/>
        </w:rPr>
        <w:t>Confidential birth</w:t>
      </w:r>
    </w:p>
    <w:p w14:paraId="18BB16D2" w14:textId="5C4AF85F" w:rsidR="001519E1" w:rsidRPr="00CD6791" w:rsidRDefault="001519E1" w:rsidP="001519E1">
      <w:pPr>
        <w:spacing w:before="0" w:after="0" w:line="360" w:lineRule="auto"/>
        <w:jc w:val="both"/>
        <w:rPr>
          <w:rFonts w:ascii="Times New Roman" w:eastAsia="Times New Roman" w:hAnsi="Times New Roman" w:cs="Times New Roman"/>
          <w:kern w:val="0"/>
          <w:szCs w:val="24"/>
          <w:lang w:eastAsia="de-CH"/>
          <w14:ligatures w14:val="none"/>
          <w14:numForm w14:val="default"/>
          <w14:numSpacing w14:val="default"/>
        </w:rPr>
      </w:pPr>
      <w:r>
        <w:rPr>
          <w:rFonts w:ascii="Times New Roman" w:eastAsia="Times New Roman" w:hAnsi="Times New Roman" w:cs="Times New Roman"/>
          <w:kern w:val="0"/>
          <w:szCs w:val="24"/>
          <w:lang w:eastAsia="de-CH"/>
          <w14:ligatures w14:val="none"/>
          <w14:numForm w14:val="default"/>
          <w14:numSpacing w14:val="default"/>
        </w:rPr>
        <w:t>On 4 June 2026, an interpellation on confidential birth was filed (</w:t>
      </w:r>
      <w:hyperlink r:id="rId21" w:history="1">
        <w:r>
          <w:rPr>
            <w:rFonts w:ascii="Times New Roman" w:eastAsia="Times New Roman" w:hAnsi="Times New Roman" w:cs="Times New Roman"/>
            <w:color w:val="0563C1"/>
            <w:kern w:val="0"/>
            <w:szCs w:val="24"/>
            <w:u w:val="single"/>
            <w:lang w:eastAsia="de-CH"/>
            <w14:ligatures w14:val="none"/>
            <w14:numForm w14:val="default"/>
            <w14:numSpacing w14:val="default"/>
          </w:rPr>
          <w:t>26.3562, Wyss, Protection of mother and child. Ensuring the extension of confidential birth throughout Switzerland</w:t>
        </w:r>
      </w:hyperlink>
      <w:r>
        <w:rPr>
          <w:rFonts w:ascii="Times New Roman" w:eastAsia="Times New Roman" w:hAnsi="Times New Roman" w:cs="Times New Roman"/>
          <w:kern w:val="0"/>
          <w:szCs w:val="24"/>
          <w:lang w:eastAsia="de-CH"/>
          <w14:ligatures w14:val="none"/>
          <w14:numForm w14:val="default"/>
          <w14:numSpacing w14:val="default"/>
        </w:rPr>
        <w:t>). The Federal Council will rule on this shortly.</w:t>
      </w:r>
    </w:p>
    <w:p w14:paraId="5C672AED" w14:textId="77777777" w:rsidR="001519E1" w:rsidRPr="00CD6791" w:rsidRDefault="001519E1" w:rsidP="001519E1">
      <w:pPr>
        <w:spacing w:before="0" w:after="0" w:line="360" w:lineRule="auto"/>
        <w:jc w:val="both"/>
        <w:rPr>
          <w:rFonts w:ascii="Times New Roman" w:eastAsia="Times New Roman" w:hAnsi="Times New Roman" w:cs="Times New Roman"/>
          <w:b/>
          <w:bCs/>
          <w:kern w:val="0"/>
          <w:szCs w:val="24"/>
          <w:lang w:eastAsia="de-CH"/>
          <w14:ligatures w14:val="none"/>
          <w14:numForm w14:val="default"/>
          <w14:numSpacing w14:val="default"/>
        </w:rPr>
      </w:pPr>
      <w:r>
        <w:rPr>
          <w:rFonts w:ascii="Times New Roman" w:eastAsia="Times New Roman" w:hAnsi="Times New Roman" w:cs="Times New Roman"/>
          <w:b/>
          <w:bCs/>
          <w:kern w:val="0"/>
          <w:szCs w:val="24"/>
          <w:lang w:eastAsia="de-CH"/>
          <w14:ligatures w14:val="none"/>
          <w14:numForm w14:val="default"/>
          <w14:numSpacing w14:val="default"/>
        </w:rPr>
        <w:t>Parental authority</w:t>
      </w:r>
    </w:p>
    <w:p w14:paraId="37297508" w14:textId="65F47DF9" w:rsidR="001519E1" w:rsidRPr="00CD6791" w:rsidRDefault="001519E1" w:rsidP="001519E1">
      <w:pPr>
        <w:spacing w:before="0" w:after="0" w:line="360" w:lineRule="auto"/>
        <w:jc w:val="both"/>
        <w:rPr>
          <w:rFonts w:ascii="Times New Roman" w:eastAsia="Times New Roman" w:hAnsi="Times New Roman" w:cs="Times New Roman"/>
          <w:kern w:val="0"/>
          <w:szCs w:val="24"/>
          <w:lang w:eastAsia="de-CH"/>
          <w14:ligatures w14:val="none"/>
          <w14:numForm w14:val="default"/>
          <w14:numSpacing w14:val="default"/>
        </w:rPr>
      </w:pPr>
      <w:r>
        <w:rPr>
          <w:rFonts w:ascii="Times New Roman" w:eastAsia="Times New Roman" w:hAnsi="Times New Roman" w:cs="Times New Roman"/>
          <w:kern w:val="0"/>
          <w:szCs w:val="24"/>
          <w:lang w:eastAsia="de-CH"/>
          <w14:ligatures w14:val="none"/>
          <w14:numForm w14:val="default"/>
          <w14:numSpacing w14:val="default"/>
        </w:rPr>
        <w:t>Swiss authorities must be able to easily find out who exercises parental authority; this information will therefore in future be recorded in the municipal residents</w:t>
      </w:r>
      <w:r w:rsidR="00A30047">
        <w:rPr>
          <w:rFonts w:ascii="Times New Roman" w:eastAsia="Times New Roman" w:hAnsi="Times New Roman" w:cs="Times New Roman"/>
          <w:kern w:val="0"/>
          <w:szCs w:val="24"/>
          <w:lang w:eastAsia="de-CH"/>
          <w14:ligatures w14:val="none"/>
          <w14:numForm w14:val="default"/>
          <w14:numSpacing w14:val="default"/>
        </w:rPr>
        <w:t>’</w:t>
      </w:r>
      <w:r>
        <w:rPr>
          <w:rFonts w:ascii="Times New Roman" w:eastAsia="Times New Roman" w:hAnsi="Times New Roman" w:cs="Times New Roman"/>
          <w:kern w:val="0"/>
          <w:szCs w:val="24"/>
          <w:lang w:eastAsia="de-CH"/>
          <w14:ligatures w14:val="none"/>
          <w14:numForm w14:val="default"/>
          <w14:numSpacing w14:val="default"/>
        </w:rPr>
        <w:t xml:space="preserve"> registers. The Federal Council opened the consultation procedure on an amendment to the </w:t>
      </w:r>
      <w:hyperlink r:id="rId22" w:history="1">
        <w:r>
          <w:rPr>
            <w:rFonts w:ascii="Times New Roman" w:eastAsia="Times New Roman" w:hAnsi="Times New Roman" w:cs="Times New Roman"/>
            <w:color w:val="0563C1"/>
            <w:kern w:val="0"/>
            <w:szCs w:val="24"/>
            <w:u w:val="single"/>
            <w:lang w:eastAsia="de-CH"/>
            <w14:ligatures w14:val="none"/>
            <w14:numForm w14:val="default"/>
            <w14:numSpacing w14:val="default"/>
          </w:rPr>
          <w:t>Swiss Civil Code</w:t>
        </w:r>
      </w:hyperlink>
      <w:r>
        <w:rPr>
          <w:rFonts w:ascii="Times New Roman" w:eastAsia="Times New Roman" w:hAnsi="Times New Roman" w:cs="Times New Roman"/>
          <w:kern w:val="0"/>
          <w:szCs w:val="24"/>
          <w:lang w:eastAsia="de-CH"/>
          <w14:ligatures w14:val="none"/>
          <w14:numForm w14:val="default"/>
          <w14:numSpacing w14:val="default"/>
        </w:rPr>
        <w:t xml:space="preserve"> following its meeting of 19 September 2025 (</w:t>
      </w:r>
      <w:hyperlink r:id="rId23" w:history="1">
        <w:r>
          <w:rPr>
            <w:rFonts w:ascii="Times New Roman" w:eastAsia="Times New Roman" w:hAnsi="Times New Roman" w:cs="Times New Roman"/>
            <w:color w:val="0563C1"/>
            <w:kern w:val="0"/>
            <w:szCs w:val="24"/>
            <w:u w:val="single"/>
            <w:lang w:eastAsia="de-CH"/>
            <w14:ligatures w14:val="none"/>
            <w14:numForm w14:val="default"/>
            <w14:numSpacing w14:val="default"/>
          </w:rPr>
          <w:t>Motion 21.3981 CSEC I Entry of custody rights in the register of residents of the canton and of the municipality</w:t>
        </w:r>
      </w:hyperlink>
      <w:r>
        <w:rPr>
          <w:rFonts w:ascii="Times New Roman" w:eastAsia="Times New Roman" w:hAnsi="Times New Roman" w:cs="Times New Roman"/>
          <w:kern w:val="0"/>
          <w:szCs w:val="24"/>
          <w:lang w:eastAsia="de-CH"/>
          <w14:ligatures w14:val="none"/>
          <w14:numForm w14:val="default"/>
          <w14:numSpacing w14:val="default"/>
        </w:rPr>
        <w:t xml:space="preserve">). </w:t>
      </w:r>
    </w:p>
    <w:p w14:paraId="3C7518FD" w14:textId="40FA4331" w:rsidR="001519E1" w:rsidRPr="007A1E5C" w:rsidRDefault="001519E1" w:rsidP="007A1E5C">
      <w:pPr>
        <w:spacing w:before="0" w:after="0" w:line="360" w:lineRule="auto"/>
        <w:jc w:val="both"/>
        <w:rPr>
          <w:rFonts w:ascii="Times New Roman" w:eastAsia="Times New Roman" w:hAnsi="Times New Roman" w:cs="Times New Roman"/>
          <w:kern w:val="0"/>
          <w:szCs w:val="24"/>
          <w:lang w:eastAsia="de-CH"/>
          <w14:ligatures w14:val="none"/>
          <w14:numForm w14:val="default"/>
          <w14:numSpacing w14:val="default"/>
        </w:rPr>
      </w:pPr>
      <w:r>
        <w:rPr>
          <w:rFonts w:ascii="Times New Roman" w:eastAsia="Times New Roman" w:hAnsi="Times New Roman" w:cs="Times New Roman"/>
          <w:kern w:val="0"/>
          <w:szCs w:val="24"/>
          <w:lang w:eastAsia="de-CH"/>
          <w14:ligatures w14:val="none"/>
          <w14:numForm w14:val="default"/>
          <w14:numSpacing w14:val="default"/>
        </w:rPr>
        <w:t>So that residents</w:t>
      </w:r>
      <w:r w:rsidR="00A30047">
        <w:rPr>
          <w:rFonts w:ascii="Times New Roman" w:eastAsia="Times New Roman" w:hAnsi="Times New Roman" w:cs="Times New Roman"/>
          <w:kern w:val="0"/>
          <w:szCs w:val="24"/>
          <w:lang w:eastAsia="de-CH"/>
          <w14:ligatures w14:val="none"/>
          <w14:numForm w14:val="default"/>
          <w14:numSpacing w14:val="default"/>
        </w:rPr>
        <w:t>’</w:t>
      </w:r>
      <w:r>
        <w:rPr>
          <w:rFonts w:ascii="Times New Roman" w:eastAsia="Times New Roman" w:hAnsi="Times New Roman" w:cs="Times New Roman"/>
          <w:kern w:val="0"/>
          <w:szCs w:val="24"/>
          <w:lang w:eastAsia="de-CH"/>
          <w14:ligatures w14:val="none"/>
          <w14:numForm w14:val="default"/>
          <w14:numSpacing w14:val="default"/>
        </w:rPr>
        <w:t xml:space="preserve"> services always have up-to-date data, civil status offices, civil courts, child protection authorities and migration authorities will be obliged to communicate the arrangements for parental authority. </w:t>
      </w:r>
      <w:hyperlink r:id="rId24" w:history="1">
        <w:r>
          <w:rPr>
            <w:rFonts w:ascii="Times New Roman" w:eastAsia="Times New Roman" w:hAnsi="Times New Roman" w:cs="Times New Roman"/>
            <w:color w:val="0563C1"/>
            <w:kern w:val="0"/>
            <w:szCs w:val="24"/>
            <w:u w:val="single"/>
            <w:lang w:eastAsia="de-CH"/>
            <w14:ligatures w14:val="none"/>
            <w14:numForm w14:val="default"/>
            <w14:numSpacing w14:val="default"/>
          </w:rPr>
          <w:t>The consultation</w:t>
        </w:r>
      </w:hyperlink>
      <w:r>
        <w:rPr>
          <w:rFonts w:ascii="Times New Roman" w:eastAsia="Times New Roman" w:hAnsi="Times New Roman" w:cs="Times New Roman"/>
          <w:kern w:val="0"/>
          <w:szCs w:val="24"/>
          <w:lang w:eastAsia="de-CH"/>
          <w14:ligatures w14:val="none"/>
          <w14:numForm w14:val="default"/>
          <w14:numSpacing w14:val="default"/>
        </w:rPr>
        <w:t xml:space="preserve"> ended on 19 December 2025. The evaluation of the consultation is under way and the next step will be the preparation of a draft act.</w:t>
      </w:r>
    </w:p>
    <w:p w14:paraId="734C7467" w14:textId="143C227B" w:rsidR="001519E1" w:rsidRPr="00A178A1" w:rsidRDefault="00A178A1" w:rsidP="001519E1">
      <w:pPr>
        <w:spacing w:before="0" w:after="0" w:line="360" w:lineRule="auto"/>
        <w:jc w:val="both"/>
        <w:rPr>
          <w:rFonts w:ascii="Times New Roman" w:eastAsia="Times New Roman" w:hAnsi="Times New Roman" w:cs="Times New Roman"/>
          <w:kern w:val="0"/>
          <w:szCs w:val="24"/>
          <w:lang w:eastAsia="de-CH"/>
          <w14:ligatures w14:val="none"/>
          <w14:numForm w14:val="default"/>
          <w14:numSpacing w14:val="default"/>
        </w:rPr>
      </w:pPr>
      <w:hyperlink r:id="rId25" w:history="1">
        <w:r w:rsidRPr="00A178A1">
          <w:rPr>
            <w:rStyle w:val="Lienhypertexte"/>
            <w:rFonts w:ascii="Times New Roman" w:eastAsia="Times New Roman" w:hAnsi="Times New Roman" w:cs="Times New Roman"/>
            <w:kern w:val="0"/>
            <w:szCs w:val="24"/>
            <w:lang w:eastAsia="de-CH"/>
            <w14:ligatures w14:val="none"/>
            <w14:numForm w14:val="default"/>
            <w14:numSpacing w14:val="default"/>
          </w:rPr>
          <w:t xml:space="preserve">FOCS Directive No. 10.25.06.01 on the receipt of the acknowledgment of a child under German law </w:t>
        </w:r>
      </w:hyperlink>
    </w:p>
    <w:p w14:paraId="571A9318" w14:textId="77777777" w:rsidR="001519E1" w:rsidRPr="000176A3" w:rsidRDefault="001519E1" w:rsidP="001519E1">
      <w:pPr>
        <w:spacing w:before="0" w:after="0" w:line="360" w:lineRule="auto"/>
        <w:jc w:val="both"/>
        <w:rPr>
          <w:rFonts w:ascii="Times New Roman" w:eastAsia="Times New Roman" w:hAnsi="Times New Roman" w:cs="Times New Roman"/>
          <w:kern w:val="0"/>
          <w:szCs w:val="24"/>
          <w:lang w:eastAsia="de-CH"/>
          <w14:ligatures w14:val="none"/>
          <w14:numForm w14:val="default"/>
          <w14:numSpacing w14:val="default"/>
        </w:rPr>
      </w:pPr>
      <w:r>
        <w:rPr>
          <w:rFonts w:ascii="Times New Roman" w:eastAsia="Times New Roman" w:hAnsi="Times New Roman" w:cs="Times New Roman"/>
          <w:kern w:val="0"/>
          <w:szCs w:val="24"/>
          <w:lang w:eastAsia="de-CH"/>
          <w14:ligatures w14:val="none"/>
          <w14:numForm w14:val="default"/>
          <w14:numSpacing w14:val="default"/>
        </w:rPr>
        <w:t xml:space="preserve">The acknowledgment of a child received by a Swiss civil status office pursuant to Articles 260 et seq. </w:t>
      </w:r>
      <w:r>
        <w:rPr>
          <w:rFonts w:ascii="Times New Roman" w:eastAsia="Times New Roman" w:hAnsi="Times New Roman" w:cs="Times New Roman"/>
          <w:color w:val="000000"/>
          <w:kern w:val="0"/>
          <w:szCs w:val="24"/>
          <w14:ligatures w14:val="none"/>
          <w14:numForm w14:val="default"/>
          <w14:numSpacing w14:val="default"/>
        </w:rPr>
        <w:t xml:space="preserve">of the </w:t>
      </w:r>
      <w:hyperlink r:id="rId26" w:history="1">
        <w:r>
          <w:rPr>
            <w:rFonts w:ascii="Times New Roman" w:eastAsia="Times New Roman" w:hAnsi="Times New Roman" w:cs="Times New Roman"/>
            <w:color w:val="0563C1"/>
            <w:kern w:val="0"/>
            <w:szCs w:val="24"/>
            <w:u w:val="single"/>
            <w14:ligatures w14:val="none"/>
            <w14:numForm w14:val="default"/>
            <w14:numSpacing w14:val="default"/>
          </w:rPr>
          <w:t>Swiss Civil Code</w:t>
        </w:r>
      </w:hyperlink>
      <w:r>
        <w:rPr>
          <w:rFonts w:ascii="Times New Roman" w:eastAsia="Times New Roman" w:hAnsi="Times New Roman" w:cs="Times New Roman"/>
          <w:kern w:val="0"/>
          <w:szCs w:val="24"/>
          <w:lang w:eastAsia="de-CH"/>
          <w14:ligatures w14:val="none"/>
          <w14:numForm w14:val="default"/>
          <w14:numSpacing w14:val="default"/>
        </w:rPr>
        <w:t xml:space="preserve"> produces no effect in Germany, since German law requires the consent of the mother (§ 1595 of the German Civil Code [BGB]), including where the acknowledgment of the child is based on foreign law (Art. 23 EGBGB). This problem is now resolved by transmitting to the German Embassy a declaration of consent from the mother of German nationality, after receipt of the acknowledgment by the Swiss civil status office. </w:t>
      </w:r>
    </w:p>
    <w:p w14:paraId="3189ED57" w14:textId="77777777" w:rsidR="001519E1" w:rsidRPr="004B2B9A" w:rsidRDefault="001519E1" w:rsidP="001519E1">
      <w:pPr>
        <w:spacing w:line="360" w:lineRule="auto"/>
        <w:jc w:val="both"/>
        <w:rPr>
          <w:rFonts w:ascii="Times New Roman" w:hAnsi="Times New Roman" w:cs="Times New Roman"/>
          <w:szCs w:val="24"/>
        </w:rPr>
      </w:pPr>
    </w:p>
    <w:p w14:paraId="55FD2449" w14:textId="6325812E" w:rsidR="001519E1" w:rsidRPr="007A1E5C"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B – France</w:t>
      </w:r>
    </w:p>
    <w:p w14:paraId="6B65E8EC" w14:textId="77777777" w:rsidR="001519E1" w:rsidRPr="003472A8"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We will now discuss the continuation of the case-law saga on surrogacy, already discussed last year. I will present to you two judgments delivered by the Plenary Assembly of the French Court of Cassation on 3 July 2026</w:t>
      </w:r>
      <w:r>
        <w:rPr>
          <w:rStyle w:val="Appelnotedebasdep"/>
          <w:rFonts w:ascii="Times New Roman" w:hAnsi="Times New Roman" w:cs="Times New Roman"/>
          <w:szCs w:val="24"/>
        </w:rPr>
        <w:footnoteReference w:id="2"/>
      </w:r>
      <w:r>
        <w:rPr>
          <w:rFonts w:ascii="Times New Roman" w:hAnsi="Times New Roman" w:cs="Times New Roman"/>
          <w:szCs w:val="24"/>
        </w:rPr>
        <w:t>, which concern the recognition in France of a foreign decision establishing the parentage of a child born abroad following a surrogacy.</w:t>
      </w:r>
    </w:p>
    <w:p w14:paraId="3FA58EDC" w14:textId="77777777" w:rsidR="001519E1" w:rsidRPr="003472A8"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In the first case, the matter concerned a child born in Ontario, Canada, in 2011. A surrogacy agreement had been concluded between two men and a surrogate. The child had been conceived with the gametes of one of the two men and the eggs of a third-party donor. After the birth, a decision of the Superior Court of Justice of the Province of Ontario (Canada) held that the two men are the parents of this child by law and that the woman who carried the child is not the mother, and then ordered the drawing up of a birth record in accordance with its decision.</w:t>
      </w:r>
    </w:p>
    <w:p w14:paraId="4D6661C4" w14:textId="77777777" w:rsidR="001519E1" w:rsidRPr="003472A8"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In the second case, the facts are similar. There are two nuances: two children were born of the surrogacy and the woman who carried the child was married, with the result that the Canadian court, in accordance with Ontario law, had to decide that she and her husband were not the parents of the children.</w:t>
      </w:r>
    </w:p>
    <w:p w14:paraId="6BC17FDB" w14:textId="77777777" w:rsidR="001519E1" w:rsidRPr="003472A8"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 xml:space="preserve">Each time, the two men then applied in France for exequatur of the decision. </w:t>
      </w:r>
    </w:p>
    <w:p w14:paraId="7952E4B9" w14:textId="77777777" w:rsidR="001519E1" w:rsidRPr="003472A8"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 xml:space="preserve">As you know, since we discussed it last year, surrogacy is prohibited by the French Civil Code. The Court of Cassation recalls a fundamental distinction: </w:t>
      </w:r>
      <w:r>
        <w:rPr>
          <w:rFonts w:ascii="Times New Roman" w:hAnsi="Times New Roman" w:cs="Times New Roman"/>
          <w:b/>
          <w:bCs/>
          <w:szCs w:val="24"/>
        </w:rPr>
        <w:t>the prohibition provided for in French domestic law does not automatically preclude the recognition of a foreign decision relating to the parentage of a child born of a surrogacy</w:t>
      </w:r>
      <w:r>
        <w:rPr>
          <w:rFonts w:ascii="Times New Roman" w:hAnsi="Times New Roman" w:cs="Times New Roman"/>
          <w:szCs w:val="24"/>
        </w:rPr>
        <w:t>.</w:t>
      </w:r>
    </w:p>
    <w:p w14:paraId="7C1D8A42" w14:textId="3691436C" w:rsidR="001519E1" w:rsidRPr="003472A8"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Indeed, French international public policy is not nourished solely by principles drawn from domestic law. It must also incorporate fundamental rights guaranteed by the European Convention on Human Rights, notably the child</w:t>
      </w:r>
      <w:r w:rsidR="00A30047">
        <w:rPr>
          <w:rFonts w:ascii="Times New Roman" w:hAnsi="Times New Roman" w:cs="Times New Roman"/>
          <w:szCs w:val="24"/>
        </w:rPr>
        <w:t>’</w:t>
      </w:r>
      <w:r>
        <w:rPr>
          <w:rFonts w:ascii="Times New Roman" w:hAnsi="Times New Roman" w:cs="Times New Roman"/>
          <w:szCs w:val="24"/>
        </w:rPr>
        <w:t>s right to respect for private life. This right requires in particular that everyone be able to establish the details of his or her identity as a human being, which includes parentage.</w:t>
      </w:r>
    </w:p>
    <w:p w14:paraId="144E0C53" w14:textId="5673D636" w:rsidR="001519E1" w:rsidRPr="003472A8"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 xml:space="preserve">The Court sets an important requirement concerning foreign decisions in this area. To review their international regularity, the French judge must be able to verify in particular </w:t>
      </w:r>
      <w:r>
        <w:rPr>
          <w:rFonts w:ascii="Times New Roman" w:hAnsi="Times New Roman" w:cs="Times New Roman"/>
          <w:b/>
          <w:bCs/>
          <w:szCs w:val="24"/>
        </w:rPr>
        <w:t>the identity and capacity of the persons who took part in the parental project and, above all, the surrogate</w:t>
      </w:r>
      <w:r w:rsidR="00A30047">
        <w:rPr>
          <w:rFonts w:ascii="Times New Roman" w:hAnsi="Times New Roman" w:cs="Times New Roman"/>
          <w:b/>
          <w:bCs/>
          <w:szCs w:val="24"/>
        </w:rPr>
        <w:t>’</w:t>
      </w:r>
      <w:r>
        <w:rPr>
          <w:rFonts w:ascii="Times New Roman" w:hAnsi="Times New Roman" w:cs="Times New Roman"/>
          <w:b/>
          <w:bCs/>
          <w:szCs w:val="24"/>
        </w:rPr>
        <w:t>s consent to the surrogacy agreement and to its effects on her parental rights</w:t>
      </w:r>
      <w:r>
        <w:rPr>
          <w:rFonts w:ascii="Times New Roman" w:hAnsi="Times New Roman" w:cs="Times New Roman"/>
          <w:szCs w:val="24"/>
        </w:rPr>
        <w:t>. Additional documents may serve to compensate for insufficient reasoning in the foreign decision. It is for the applicant to produce these documents.</w:t>
      </w:r>
    </w:p>
    <w:p w14:paraId="113B99DB" w14:textId="77777777" w:rsidR="001519E1" w:rsidRPr="003472A8"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 xml:space="preserve">In the case at hand, the Court grants exequatur to the Canadian decisions. The parentage links established in Canada are recognised as such in France. The Court also decides that the decisions may be transcribed with respect to both fathers in the French civil status registers. </w:t>
      </w:r>
    </w:p>
    <w:p w14:paraId="368A27E6" w14:textId="77777777" w:rsidR="001519E1"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 xml:space="preserve">By contrast, the Court refuses to allow the Canadian decisions to produce in France the effects of a </w:t>
      </w:r>
      <w:r>
        <w:rPr>
          <w:rFonts w:ascii="Times New Roman" w:hAnsi="Times New Roman" w:cs="Times New Roman"/>
          <w:b/>
          <w:bCs/>
          <w:szCs w:val="24"/>
        </w:rPr>
        <w:t>full adoption</w:t>
      </w:r>
      <w:r>
        <w:rPr>
          <w:rFonts w:ascii="Times New Roman" w:hAnsi="Times New Roman" w:cs="Times New Roman"/>
          <w:szCs w:val="24"/>
        </w:rPr>
        <w:t>, which the two men had requested each time. This is an essential point: the Canadian decisions established parentage but were not adoption decisions. The French judge therefore cannot distort them when their insertion into the French legal order is sought.</w:t>
      </w:r>
    </w:p>
    <w:p w14:paraId="6D296503" w14:textId="77777777" w:rsidR="001519E1" w:rsidRPr="00D30EBA" w:rsidRDefault="001519E1" w:rsidP="001519E1">
      <w:pPr>
        <w:spacing w:line="360" w:lineRule="auto"/>
        <w:jc w:val="both"/>
        <w:rPr>
          <w:rFonts w:ascii="Times New Roman" w:hAnsi="Times New Roman" w:cs="Times New Roman"/>
          <w:szCs w:val="24"/>
        </w:rPr>
      </w:pPr>
    </w:p>
    <w:p w14:paraId="0EC7BB71" w14:textId="4FE5F62C" w:rsidR="001519E1"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C – Netherlands</w:t>
      </w:r>
    </w:p>
    <w:p w14:paraId="1F6E920E" w14:textId="77777777" w:rsidR="001519E1" w:rsidRPr="00BF0BCE"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Surrogacy</w:t>
      </w:r>
    </w:p>
    <w:p w14:paraId="2072FC98" w14:textId="5378BC97" w:rsidR="00A24DD5" w:rsidRPr="00216AF9"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A draft act was presented to the General Assembly in 2023. The work has not been pursued owing to the political situation and the complexity of the subject. Scientific research has been carried out to examine further the rights of the child born of surrogacy, the rights of the surrogate mother and the rights of parents who wish to have a child. Several proposals and recommendations concerning the draft act have been presented. They are currently being studied by the various ministries concerned.</w:t>
      </w:r>
    </w:p>
    <w:p w14:paraId="5FBB601A" w14:textId="50C4941D" w:rsidR="001519E1" w:rsidRPr="00BF0BCE"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International adoption</w:t>
      </w:r>
    </w:p>
    <w:p w14:paraId="3262BCA8" w14:textId="77777777" w:rsidR="001519E1" w:rsidRPr="00D30EBA"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 xml:space="preserve">A commission has examined the procedures and practices in cases of international adoption. </w:t>
      </w:r>
      <w:proofErr w:type="gramStart"/>
      <w:r>
        <w:rPr>
          <w:rFonts w:ascii="Times New Roman" w:hAnsi="Times New Roman" w:cs="Times New Roman"/>
          <w:bCs/>
          <w:szCs w:val="24"/>
        </w:rPr>
        <w:t>Unfortunately</w:t>
      </w:r>
      <w:proofErr w:type="gramEnd"/>
      <w:r>
        <w:rPr>
          <w:rFonts w:ascii="Times New Roman" w:hAnsi="Times New Roman" w:cs="Times New Roman"/>
          <w:bCs/>
          <w:szCs w:val="24"/>
        </w:rPr>
        <w:t xml:space="preserve"> the results of this inquiry show serious problems, such as adoptions of children without the consent of their (biological) parents. Consequently, it has been decided to end the possibility of international adoption gradually. A draft act to regulate the matter is in preparation.</w:t>
      </w:r>
    </w:p>
    <w:p w14:paraId="10EC5280" w14:textId="77777777" w:rsidR="001519E1" w:rsidRPr="00BF0BCE"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Mothers who in the past were forced to give up their child</w:t>
      </w:r>
    </w:p>
    <w:p w14:paraId="5525A754" w14:textId="77777777" w:rsidR="001519E1"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These are women who in the past (1956–1984) had a child while they were not married. In many cases they were forced to give up their child and to give their consent to adoption. Recently the State Secretary of the Ministry of Justice and Security officially apologised to them on behalf of the government.</w:t>
      </w:r>
    </w:p>
    <w:p w14:paraId="20912F83" w14:textId="77777777" w:rsidR="001519E1" w:rsidRDefault="001519E1" w:rsidP="001519E1">
      <w:pPr>
        <w:spacing w:line="360" w:lineRule="auto"/>
        <w:jc w:val="both"/>
        <w:rPr>
          <w:rFonts w:ascii="Times New Roman" w:hAnsi="Times New Roman" w:cs="Times New Roman"/>
          <w:bCs/>
          <w:szCs w:val="24"/>
        </w:rPr>
      </w:pPr>
    </w:p>
    <w:p w14:paraId="18D77AEA" w14:textId="6CBAA8AD" w:rsidR="001519E1" w:rsidRPr="007A1E5C" w:rsidRDefault="001519E1" w:rsidP="001519E1">
      <w:pPr>
        <w:spacing w:line="360" w:lineRule="auto"/>
        <w:jc w:val="both"/>
        <w:rPr>
          <w:rFonts w:ascii="Times New Roman" w:hAnsi="Times New Roman" w:cs="Times New Roman"/>
          <w:b/>
        </w:rPr>
      </w:pPr>
      <w:r>
        <w:rPr>
          <w:rFonts w:ascii="Times New Roman" w:hAnsi="Times New Roman" w:cs="Times New Roman"/>
          <w:b/>
          <w:szCs w:val="24"/>
        </w:rPr>
        <w:t xml:space="preserve">D – </w:t>
      </w:r>
      <w:r>
        <w:rPr>
          <w:rFonts w:ascii="Times New Roman" w:hAnsi="Times New Roman" w:cs="Times New Roman"/>
          <w:b/>
        </w:rPr>
        <w:t>Italy</w:t>
      </w:r>
    </w:p>
    <w:p w14:paraId="1D932313" w14:textId="77777777" w:rsidR="001519E1" w:rsidRPr="004B56A6" w:rsidRDefault="001519E1" w:rsidP="001519E1">
      <w:pPr>
        <w:spacing w:line="360" w:lineRule="auto"/>
        <w:jc w:val="both"/>
        <w:rPr>
          <w:rFonts w:ascii="Times New Roman" w:hAnsi="Times New Roman" w:cs="Times New Roman"/>
          <w:bCs/>
        </w:rPr>
      </w:pPr>
      <w:r>
        <w:rPr>
          <w:rFonts w:ascii="Times New Roman" w:hAnsi="Times New Roman" w:cs="Times New Roman"/>
          <w:b/>
          <w:bCs/>
        </w:rPr>
        <w:t>Surrogacy: a new decision of the Court of Cassation</w:t>
      </w:r>
    </w:p>
    <w:p w14:paraId="30B54EFE" w14:textId="77777777" w:rsidR="001519E1" w:rsidRPr="005A556B" w:rsidRDefault="001519E1" w:rsidP="001519E1">
      <w:pPr>
        <w:pStyle w:val="pdq2pgselectionanchorcontainer"/>
        <w:spacing w:line="360" w:lineRule="auto"/>
        <w:jc w:val="both"/>
        <w:rPr>
          <w:bCs/>
        </w:rPr>
      </w:pPr>
      <w:r>
        <w:rPr>
          <w:bCs/>
        </w:rPr>
        <w:t xml:space="preserve">In its judgment </w:t>
      </w:r>
      <w:hyperlink r:id="rId27" w:history="1">
        <w:r>
          <w:rPr>
            <w:rStyle w:val="Lienhypertexte"/>
            <w:bCs/>
          </w:rPr>
          <w:t xml:space="preserve">No. 7919/2026 </w:t>
        </w:r>
      </w:hyperlink>
      <w:r>
        <w:rPr>
          <w:bCs/>
        </w:rPr>
        <w:t>, the First Civil Chamber of the Court of Cassation ruled on a particular case. The case concerns a girl born in the United States through surrogacy.</w:t>
      </w:r>
    </w:p>
    <w:p w14:paraId="36A43DDE" w14:textId="77777777" w:rsidR="001519E1" w:rsidRPr="005A556B" w:rsidRDefault="001519E1" w:rsidP="001519E1">
      <w:pPr>
        <w:pStyle w:val="pdq2pgselectionanchorcontainer"/>
        <w:numPr>
          <w:ilvl w:val="0"/>
          <w:numId w:val="19"/>
        </w:numPr>
        <w:spacing w:line="360" w:lineRule="auto"/>
        <w:jc w:val="both"/>
        <w:rPr>
          <w:bCs/>
        </w:rPr>
      </w:pPr>
      <w:r>
        <w:rPr>
          <w:bCs/>
        </w:rPr>
        <w:t xml:space="preserve">An Italian couple had jointly begun a surrogacy project in the United States in August 2019. </w:t>
      </w:r>
    </w:p>
    <w:p w14:paraId="55E62E16" w14:textId="77777777" w:rsidR="001519E1" w:rsidRPr="005A556B" w:rsidRDefault="001519E1" w:rsidP="001519E1">
      <w:pPr>
        <w:pStyle w:val="pdq2pgselectionanchorcontainer"/>
        <w:numPr>
          <w:ilvl w:val="0"/>
          <w:numId w:val="19"/>
        </w:numPr>
        <w:spacing w:line="360" w:lineRule="auto"/>
        <w:jc w:val="both"/>
        <w:rPr>
          <w:bCs/>
        </w:rPr>
      </w:pPr>
      <w:r>
        <w:rPr>
          <w:bCs/>
        </w:rPr>
        <w:t xml:space="preserve">The wife, who was the future “intended mother”, died in October 2019, before the contract with the surrogate had actually been concluded. </w:t>
      </w:r>
    </w:p>
    <w:p w14:paraId="7A82E3EC" w14:textId="77777777" w:rsidR="001519E1" w:rsidRPr="005A556B" w:rsidRDefault="001519E1" w:rsidP="001519E1">
      <w:pPr>
        <w:pStyle w:val="pdq2pgselectionanchorcontainer"/>
        <w:numPr>
          <w:ilvl w:val="0"/>
          <w:numId w:val="19"/>
        </w:numPr>
        <w:spacing w:line="360" w:lineRule="auto"/>
        <w:jc w:val="both"/>
        <w:rPr>
          <w:bCs/>
        </w:rPr>
      </w:pPr>
      <w:r>
        <w:rPr>
          <w:bCs/>
        </w:rPr>
        <w:t xml:space="preserve">The husband then continued the project alone and concluded the contract with the surrogate in March 2020. </w:t>
      </w:r>
    </w:p>
    <w:p w14:paraId="0A6EBE16" w14:textId="77777777" w:rsidR="001519E1" w:rsidRPr="005A556B" w:rsidRDefault="001519E1" w:rsidP="001519E1">
      <w:pPr>
        <w:pStyle w:val="pdq2pgselectionanchorcontainer"/>
        <w:numPr>
          <w:ilvl w:val="0"/>
          <w:numId w:val="19"/>
        </w:numPr>
        <w:spacing w:line="360" w:lineRule="auto"/>
        <w:jc w:val="both"/>
        <w:rPr>
          <w:bCs/>
        </w:rPr>
      </w:pPr>
      <w:r>
        <w:rPr>
          <w:bCs/>
        </w:rPr>
        <w:t xml:space="preserve">The child was born in 2021. A US decision recognised both spouses as parents. </w:t>
      </w:r>
    </w:p>
    <w:p w14:paraId="557F1474" w14:textId="77777777" w:rsidR="001519E1" w:rsidRPr="005A556B" w:rsidRDefault="001519E1" w:rsidP="001519E1">
      <w:pPr>
        <w:pStyle w:val="pdq2pgselectionanchorcontainer"/>
        <w:numPr>
          <w:ilvl w:val="0"/>
          <w:numId w:val="19"/>
        </w:numPr>
        <w:spacing w:line="360" w:lineRule="auto"/>
        <w:jc w:val="both"/>
        <w:rPr>
          <w:bCs/>
        </w:rPr>
      </w:pPr>
      <w:r>
        <w:rPr>
          <w:bCs/>
        </w:rPr>
        <w:t xml:space="preserve">In Italy, the father requested the transcription of the US birth record, which named both spouses as parents. The Italian administration entered only the father. </w:t>
      </w:r>
    </w:p>
    <w:p w14:paraId="51242A39" w14:textId="7D7D5503" w:rsidR="001519E1" w:rsidRPr="005A556B" w:rsidRDefault="001519E1" w:rsidP="007A1E5C">
      <w:pPr>
        <w:pStyle w:val="pdq2pgselectionanchorcontainer"/>
        <w:spacing w:line="360" w:lineRule="auto"/>
        <w:jc w:val="both"/>
        <w:rPr>
          <w:bCs/>
        </w:rPr>
      </w:pPr>
      <w:r>
        <w:rPr>
          <w:bCs/>
        </w:rPr>
        <w:t>The Court of Cassation dismisses the father</w:t>
      </w:r>
      <w:r w:rsidR="00A30047">
        <w:rPr>
          <w:bCs/>
        </w:rPr>
        <w:t>’</w:t>
      </w:r>
      <w:r>
        <w:rPr>
          <w:bCs/>
        </w:rPr>
        <w:t xml:space="preserve">s appeal. It considers that the status of parent of the intended mother could not be recognised in Italy in these circumstances. For the Court, the mere fact that the spouses had </w:t>
      </w:r>
      <w:r>
        <w:rPr>
          <w:rStyle w:val="lev"/>
          <w:rFonts w:eastAsiaTheme="majorEastAsia"/>
          <w:b w:val="0"/>
        </w:rPr>
        <w:t>initially shared a parental project</w:t>
      </w:r>
      <w:r>
        <w:rPr>
          <w:bCs/>
        </w:rPr>
        <w:t xml:space="preserve"> is not sufficient. In this case, it was necessary that this project had reached a sufficiently concrete degree of realisation before the wife</w:t>
      </w:r>
      <w:r w:rsidR="00A30047">
        <w:rPr>
          <w:bCs/>
        </w:rPr>
        <w:t>’</w:t>
      </w:r>
      <w:r>
        <w:rPr>
          <w:bCs/>
        </w:rPr>
        <w:t xml:space="preserve">s death. Yet, at the time of her death, the decisive contract with the surrogate had not yet been concluded. The Court also notes the absence of a </w:t>
      </w:r>
      <w:r>
        <w:rPr>
          <w:rStyle w:val="lev"/>
          <w:rFonts w:eastAsiaTheme="majorEastAsia"/>
          <w:b w:val="0"/>
        </w:rPr>
        <w:t>biological link</w:t>
      </w:r>
      <w:r>
        <w:rPr>
          <w:bCs/>
        </w:rPr>
        <w:t xml:space="preserve"> between the child and the intended mother as well as the absence of an </w:t>
      </w:r>
      <w:r>
        <w:rPr>
          <w:rStyle w:val="lev"/>
          <w:rFonts w:eastAsiaTheme="majorEastAsia"/>
          <w:b w:val="0"/>
        </w:rPr>
        <w:t>emotional relationship</w:t>
      </w:r>
      <w:r>
        <w:rPr>
          <w:bCs/>
        </w:rPr>
        <w:t xml:space="preserve"> with the child, since she had died before the birth. In summary, the Court considers that recognising parentage in this situation would amount to establishing a parenthood that rests </w:t>
      </w:r>
      <w:r>
        <w:rPr>
          <w:rStyle w:val="lev"/>
          <w:rFonts w:eastAsiaTheme="majorEastAsia"/>
          <w:b w:val="0"/>
        </w:rPr>
        <w:t>neither on a biological link, nor on an emotional relationship with the child, nor on a sufficiently developed procreative project</w:t>
      </w:r>
      <w:r>
        <w:rPr>
          <w:bCs/>
        </w:rPr>
        <w:t xml:space="preserve">. </w:t>
      </w:r>
      <w:r>
        <w:rPr>
          <w:rStyle w:val="lev"/>
          <w:rFonts w:eastAsiaTheme="majorEastAsia"/>
          <w:b w:val="0"/>
        </w:rPr>
        <w:t>The Court therefore dismisses the appeal and upholds the transcription of the birth record without mention of the intended mother.</w:t>
      </w:r>
      <w:r>
        <w:rPr>
          <w:bCs/>
        </w:rPr>
        <w:t xml:space="preserve"> This judgment is in line with the judgment of the United Sections of 30 December 2022</w:t>
      </w:r>
      <w:r>
        <w:rPr>
          <w:rStyle w:val="Appelnotedebasdep"/>
          <w:bCs/>
        </w:rPr>
        <w:footnoteReference w:id="3"/>
      </w:r>
      <w:r>
        <w:rPr>
          <w:bCs/>
        </w:rPr>
        <w:t xml:space="preserve">. According to this case law, the prohibition of surrogacy prevails over the preservation of the status acquired abroad, even where that status complies with the law of the place of birth. The intended parent must then go through adoption in particular cases. </w:t>
      </w:r>
    </w:p>
    <w:p w14:paraId="60E34F77" w14:textId="3F2E4284" w:rsidR="001519E1" w:rsidRPr="007A1E5C" w:rsidRDefault="001519E1" w:rsidP="001519E1">
      <w:pPr>
        <w:spacing w:line="360" w:lineRule="auto"/>
        <w:jc w:val="both"/>
        <w:rPr>
          <w:rFonts w:ascii="Times New Roman" w:hAnsi="Times New Roman" w:cs="Times New Roman"/>
          <w:b/>
          <w:szCs w:val="24"/>
          <w:u w:val="single"/>
        </w:rPr>
      </w:pPr>
      <w:r>
        <w:rPr>
          <w:rFonts w:ascii="Times New Roman" w:hAnsi="Times New Roman" w:cs="Times New Roman"/>
          <w:b/>
          <w:szCs w:val="24"/>
          <w:u w:val="single"/>
        </w:rPr>
        <w:t>IV – Unions and their dissolution</w:t>
      </w:r>
    </w:p>
    <w:p w14:paraId="686675BD" w14:textId="77777777" w:rsidR="007A1E5C" w:rsidRDefault="007A1E5C" w:rsidP="001519E1">
      <w:pPr>
        <w:spacing w:line="360" w:lineRule="auto"/>
        <w:jc w:val="both"/>
        <w:rPr>
          <w:rFonts w:ascii="Times New Roman" w:hAnsi="Times New Roman" w:cs="Times New Roman"/>
          <w:b/>
          <w:szCs w:val="24"/>
        </w:rPr>
      </w:pPr>
    </w:p>
    <w:p w14:paraId="593D0FBA" w14:textId="32FB2926" w:rsidR="001519E1"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A – Belgium</w:t>
      </w:r>
    </w:p>
    <w:p w14:paraId="16912AC4" w14:textId="77777777" w:rsidR="001519E1" w:rsidRPr="00D30EBA"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Preliminary draft act introducing extrajudicial divorce by mutual consent and amending the rules of private international law relating to change of name and first names.</w:t>
      </w:r>
    </w:p>
    <w:p w14:paraId="5A224CA9" w14:textId="77777777" w:rsidR="001519E1" w:rsidRPr="007C7299"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The preliminary draft act is still at the first stage of the legislative process. The information below is therefore subject to its final adoption by Parliament. This draft act aims to introduce extrajudicial divorce by mutual consent. Like many other European countries, this draft act aims to allow a civil registrar to record a divorce by mutual consent on the basis of an agreement drawn up beforehand by a professional (a lawyer, a notary), provided that there are no minor children whose situation must be assessed by a judge. With a view to relieving congestion in the courts, the draft act aims to “</w:t>
      </w:r>
      <w:proofErr w:type="spellStart"/>
      <w:r>
        <w:rPr>
          <w:rFonts w:ascii="Times New Roman" w:hAnsi="Times New Roman" w:cs="Times New Roman"/>
          <w:bCs/>
          <w:szCs w:val="24"/>
        </w:rPr>
        <w:t>dejudicialise</w:t>
      </w:r>
      <w:proofErr w:type="spellEnd"/>
      <w:r>
        <w:rPr>
          <w:rFonts w:ascii="Times New Roman" w:hAnsi="Times New Roman" w:cs="Times New Roman"/>
          <w:bCs/>
          <w:szCs w:val="24"/>
        </w:rPr>
        <w:t>” low-conflict divorces, without prejudice to the legal protection enjoyed by spouses in divorce proceedings.</w:t>
      </w:r>
    </w:p>
    <w:p w14:paraId="0175E6B4" w14:textId="77777777" w:rsidR="00A24DD5" w:rsidRPr="00FF3CEE" w:rsidRDefault="00A24DD5" w:rsidP="001519E1">
      <w:pPr>
        <w:tabs>
          <w:tab w:val="left" w:pos="5832"/>
        </w:tabs>
        <w:spacing w:after="120" w:line="360" w:lineRule="auto"/>
        <w:jc w:val="both"/>
        <w:rPr>
          <w:rFonts w:ascii="Times New Roman" w:hAnsi="Times New Roman" w:cs="Times New Roman"/>
          <w:szCs w:val="24"/>
        </w:rPr>
      </w:pPr>
    </w:p>
    <w:p w14:paraId="7D854D73" w14:textId="14ABBC8C" w:rsidR="001519E1"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B – Switzerland</w:t>
      </w:r>
    </w:p>
    <w:p w14:paraId="5B69DED4" w14:textId="4F65EFC2" w:rsidR="001519E1" w:rsidRPr="007A1E5C" w:rsidRDefault="001519E1" w:rsidP="001519E1">
      <w:pPr>
        <w:pStyle w:val="Paragraphedeliste"/>
        <w:numPr>
          <w:ilvl w:val="0"/>
          <w:numId w:val="15"/>
        </w:numPr>
        <w:spacing w:line="360" w:lineRule="auto"/>
        <w:jc w:val="both"/>
        <w:rPr>
          <w:rFonts w:ascii="Times New Roman" w:hAnsi="Times New Roman"/>
          <w:b/>
          <w:bCs/>
          <w:sz w:val="24"/>
          <w:szCs w:val="24"/>
          <w:lang w:val="en-GB"/>
        </w:rPr>
      </w:pPr>
      <w:r>
        <w:rPr>
          <w:rFonts w:ascii="Times New Roman" w:hAnsi="Times New Roman"/>
          <w:b/>
          <w:bCs/>
          <w:sz w:val="24"/>
          <w:szCs w:val="24"/>
          <w:lang w:val="en-GB"/>
        </w:rPr>
        <w:t>Legislative developments</w:t>
      </w:r>
    </w:p>
    <w:p w14:paraId="079646F5" w14:textId="77777777" w:rsidR="001519E1" w:rsidRPr="00CD6791" w:rsidRDefault="001519E1" w:rsidP="001519E1">
      <w:pPr>
        <w:spacing w:line="360" w:lineRule="auto"/>
        <w:jc w:val="both"/>
        <w:rPr>
          <w:rFonts w:ascii="Times New Roman" w:hAnsi="Times New Roman" w:cs="Times New Roman"/>
          <w:b/>
          <w:bCs/>
          <w:szCs w:val="24"/>
        </w:rPr>
      </w:pPr>
      <w:r>
        <w:rPr>
          <w:rFonts w:ascii="Times New Roman" w:hAnsi="Times New Roman" w:cs="Times New Roman"/>
          <w:b/>
          <w:bCs/>
          <w:szCs w:val="24"/>
        </w:rPr>
        <w:t>Marriages, partnerships and PACS</w:t>
      </w:r>
    </w:p>
    <w:p w14:paraId="2B2CD39C" w14:textId="77777777" w:rsidR="001519E1" w:rsidRPr="00CD6791" w:rsidRDefault="001519E1" w:rsidP="001519E1">
      <w:pPr>
        <w:spacing w:line="360" w:lineRule="auto"/>
        <w:jc w:val="both"/>
        <w:rPr>
          <w:rFonts w:ascii="Times New Roman" w:hAnsi="Times New Roman" w:cs="Times New Roman"/>
          <w:szCs w:val="24"/>
          <w:u w:val="single"/>
        </w:rPr>
      </w:pPr>
      <w:r>
        <w:rPr>
          <w:rFonts w:ascii="Times New Roman" w:hAnsi="Times New Roman" w:cs="Times New Roman"/>
          <w:szCs w:val="24"/>
          <w:u w:val="single"/>
        </w:rPr>
        <w:t>Abusive marriages</w:t>
      </w:r>
    </w:p>
    <w:p w14:paraId="71BEE0C2" w14:textId="2D086067" w:rsidR="001519E1" w:rsidRPr="00D30EBA"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The Liberal-Radical Group filed, on 15 December 2025, a motion instructing the Federal Council “to make the necessary legislative amendments to prevent abusive marriages whose sole or main purpose is to circumvent a negative asylum decision or a removal order” (</w:t>
      </w:r>
      <w:hyperlink r:id="rId28" w:history="1">
        <w:r>
          <w:rPr>
            <w:rStyle w:val="Lienhypertexte"/>
            <w:rFonts w:ascii="Times New Roman" w:hAnsi="Times New Roman" w:cs="Times New Roman"/>
            <w:szCs w:val="24"/>
          </w:rPr>
          <w:t>25.4513 | Of marriage as a means of circumventing expulsion | Item | The Swiss Parliament</w:t>
        </w:r>
      </w:hyperlink>
      <w:r>
        <w:rPr>
          <w:rFonts w:ascii="Times New Roman" w:hAnsi="Times New Roman" w:cs="Times New Roman"/>
          <w:szCs w:val="24"/>
        </w:rPr>
        <w:t>). The Federal Council proposed rejecting this motion on 11 February 2026.</w:t>
      </w:r>
    </w:p>
    <w:p w14:paraId="42C1718E" w14:textId="77777777" w:rsidR="001519E1" w:rsidRPr="00CD6791" w:rsidRDefault="001519E1" w:rsidP="001519E1">
      <w:pPr>
        <w:spacing w:line="360" w:lineRule="auto"/>
        <w:jc w:val="both"/>
        <w:rPr>
          <w:rFonts w:ascii="Times New Roman" w:hAnsi="Times New Roman" w:cs="Times New Roman"/>
          <w:szCs w:val="24"/>
          <w:u w:val="single"/>
        </w:rPr>
      </w:pPr>
      <w:r>
        <w:rPr>
          <w:rFonts w:ascii="Times New Roman" w:hAnsi="Times New Roman" w:cs="Times New Roman"/>
          <w:szCs w:val="24"/>
          <w:u w:val="single"/>
        </w:rPr>
        <w:t>Proxy marriages</w:t>
      </w:r>
    </w:p>
    <w:p w14:paraId="122E30D3" w14:textId="77777777" w:rsidR="001519E1" w:rsidRPr="00CD6791"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 xml:space="preserve">On 11 June 2026, the Council of States (Chamber of the Cantons) adopted motion </w:t>
      </w:r>
      <w:hyperlink r:id="rId29" w:history="1">
        <w:r>
          <w:rPr>
            <w:rStyle w:val="Lienhypertexte"/>
            <w:rFonts w:ascii="Times New Roman" w:hAnsi="Times New Roman" w:cs="Times New Roman"/>
            <w:szCs w:val="24"/>
          </w:rPr>
          <w:t>25.4039 Friedli I No family reunification in case of proxy marriage</w:t>
        </w:r>
      </w:hyperlink>
      <w:r>
        <w:rPr>
          <w:rFonts w:ascii="Times New Roman" w:hAnsi="Times New Roman" w:cs="Times New Roman"/>
          <w:szCs w:val="24"/>
        </w:rPr>
        <w:t>. The Federal Council is now instructed to take all necessary measures so that there is no longer any family reunification for persons who were married by proxy in the absence of at least one of the spouses.</w:t>
      </w:r>
    </w:p>
    <w:p w14:paraId="1113D922" w14:textId="77777777" w:rsidR="001519E1" w:rsidRPr="00CD6791" w:rsidRDefault="001519E1" w:rsidP="001519E1">
      <w:pPr>
        <w:spacing w:line="360" w:lineRule="auto"/>
        <w:jc w:val="both"/>
        <w:rPr>
          <w:rFonts w:ascii="Times New Roman" w:hAnsi="Times New Roman" w:cs="Times New Roman"/>
          <w:szCs w:val="24"/>
          <w:u w:val="single"/>
        </w:rPr>
      </w:pPr>
      <w:r>
        <w:rPr>
          <w:rFonts w:ascii="Times New Roman" w:hAnsi="Times New Roman" w:cs="Times New Roman"/>
          <w:szCs w:val="24"/>
          <w:u w:val="single"/>
        </w:rPr>
        <w:t>PACS for Switzerland</w:t>
      </w:r>
    </w:p>
    <w:p w14:paraId="0EBA5239" w14:textId="472266FC" w:rsidR="001519E1" w:rsidRPr="00CD6791"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 xml:space="preserve">In the context of the handling of </w:t>
      </w:r>
      <w:hyperlink r:id="rId30" w:history="1">
        <w:r>
          <w:rPr>
            <w:rStyle w:val="Lienhypertexte"/>
            <w:rFonts w:ascii="Times New Roman" w:hAnsi="Times New Roman" w:cs="Times New Roman"/>
            <w:szCs w:val="24"/>
          </w:rPr>
          <w:t>parliamentary initiative 22.448</w:t>
        </w:r>
      </w:hyperlink>
      <w:r>
        <w:rPr>
          <w:rFonts w:ascii="Times New Roman" w:hAnsi="Times New Roman" w:cs="Times New Roman"/>
          <w:szCs w:val="24"/>
        </w:rPr>
        <w:t>, on 27 May 2026, the Legal Affairs Committee of the Council of States (Chamber of the Cantons) opened a consultation on a draft special act aimed at establishing a civil solidarity pact (PACS) (</w:t>
      </w:r>
      <w:hyperlink r:id="rId31" w:history="1">
        <w:r>
          <w:rPr>
            <w:rStyle w:val="Lienhypertexte"/>
            <w:rFonts w:ascii="Times New Roman" w:hAnsi="Times New Roman" w:cs="Times New Roman"/>
            <w:szCs w:val="24"/>
          </w:rPr>
          <w:t>Opening of a consultation: Parliamentary committees</w:t>
        </w:r>
      </w:hyperlink>
      <w:r>
        <w:rPr>
          <w:rFonts w:ascii="Times New Roman" w:hAnsi="Times New Roman" w:cs="Times New Roman"/>
          <w:szCs w:val="24"/>
        </w:rPr>
        <w:t>)</w:t>
      </w:r>
      <w:r>
        <w:rPr>
          <w:rFonts w:ascii="Times New Roman" w:hAnsi="Times New Roman" w:cs="Times New Roman"/>
          <w:szCs w:val="24"/>
          <w:u w:val="single"/>
        </w:rPr>
        <w:t>.</w:t>
      </w:r>
    </w:p>
    <w:p w14:paraId="1CF0FC7F" w14:textId="77777777" w:rsidR="001519E1" w:rsidRPr="00CD6791" w:rsidRDefault="001519E1" w:rsidP="001519E1">
      <w:pPr>
        <w:spacing w:line="360" w:lineRule="auto"/>
        <w:jc w:val="both"/>
        <w:rPr>
          <w:rFonts w:ascii="Times New Roman" w:hAnsi="Times New Roman" w:cs="Times New Roman"/>
          <w:b/>
          <w:bCs/>
          <w:szCs w:val="24"/>
        </w:rPr>
      </w:pPr>
      <w:r>
        <w:rPr>
          <w:rFonts w:ascii="Times New Roman" w:hAnsi="Times New Roman" w:cs="Times New Roman"/>
          <w:b/>
          <w:bCs/>
          <w:szCs w:val="24"/>
        </w:rPr>
        <w:t>Civil status designations (“divorced” entry)</w:t>
      </w:r>
    </w:p>
    <w:p w14:paraId="641358EB" w14:textId="77777777" w:rsidR="001519E1" w:rsidRPr="00CD6791" w:rsidRDefault="001519E1" w:rsidP="001519E1">
      <w:pPr>
        <w:spacing w:line="360" w:lineRule="auto"/>
        <w:jc w:val="both"/>
        <w:rPr>
          <w:rFonts w:ascii="Times New Roman" w:hAnsi="Times New Roman" w:cs="Times New Roman"/>
          <w:bCs/>
          <w:szCs w:val="24"/>
        </w:rPr>
      </w:pPr>
      <w:r>
        <w:rPr>
          <w:rFonts w:ascii="Times New Roman" w:hAnsi="Times New Roman" w:cs="Times New Roman"/>
          <w:bCs/>
          <w:szCs w:val="24"/>
        </w:rPr>
        <w:t>On 19 June 2026, a motion relating to civil status law was filed (</w:t>
      </w:r>
      <w:hyperlink r:id="rId32" w:history="1">
        <w:r>
          <w:rPr>
            <w:rStyle w:val="Lienhypertexte"/>
            <w:rFonts w:ascii="Times New Roman" w:hAnsi="Times New Roman" w:cs="Times New Roman"/>
            <w:bCs/>
            <w:szCs w:val="24"/>
          </w:rPr>
          <w:t>26.4015, Gobet, For the abolition of the “divorced” status</w:t>
        </w:r>
      </w:hyperlink>
      <w:r>
        <w:rPr>
          <w:rFonts w:ascii="Times New Roman" w:hAnsi="Times New Roman" w:cs="Times New Roman"/>
          <w:bCs/>
          <w:szCs w:val="24"/>
        </w:rPr>
        <w:t>). The Federal Council will rule on this shortly.</w:t>
      </w:r>
    </w:p>
    <w:p w14:paraId="77246549" w14:textId="77F81240" w:rsidR="007A1E5C" w:rsidRDefault="007A1E5C" w:rsidP="001519E1">
      <w:pPr>
        <w:spacing w:line="360" w:lineRule="auto"/>
        <w:jc w:val="both"/>
        <w:rPr>
          <w:rFonts w:ascii="Times New Roman" w:hAnsi="Times New Roman" w:cs="Times New Roman"/>
          <w:b/>
          <w:szCs w:val="24"/>
        </w:rPr>
      </w:pPr>
    </w:p>
    <w:p w14:paraId="02E1105F" w14:textId="77777777" w:rsidR="00057808" w:rsidRPr="00CD6791" w:rsidRDefault="00057808" w:rsidP="001519E1">
      <w:pPr>
        <w:spacing w:line="360" w:lineRule="auto"/>
        <w:jc w:val="both"/>
        <w:rPr>
          <w:rFonts w:ascii="Times New Roman" w:hAnsi="Times New Roman" w:cs="Times New Roman"/>
          <w:b/>
          <w:szCs w:val="24"/>
        </w:rPr>
      </w:pPr>
    </w:p>
    <w:p w14:paraId="36C3A882" w14:textId="07659032" w:rsidR="001519E1" w:rsidRPr="007A1E5C" w:rsidRDefault="001519E1" w:rsidP="001519E1">
      <w:pPr>
        <w:pStyle w:val="Paragraphedeliste"/>
        <w:numPr>
          <w:ilvl w:val="0"/>
          <w:numId w:val="15"/>
        </w:numPr>
        <w:spacing w:line="360" w:lineRule="auto"/>
        <w:jc w:val="both"/>
        <w:rPr>
          <w:rFonts w:ascii="Times New Roman" w:hAnsi="Times New Roman"/>
          <w:b/>
          <w:bCs/>
          <w:sz w:val="24"/>
          <w:szCs w:val="24"/>
          <w:lang w:val="en-GB"/>
        </w:rPr>
      </w:pPr>
      <w:r>
        <w:rPr>
          <w:rFonts w:ascii="Times New Roman" w:hAnsi="Times New Roman"/>
          <w:b/>
          <w:bCs/>
          <w:sz w:val="24"/>
          <w:szCs w:val="24"/>
          <w:lang w:val="en-GB"/>
        </w:rPr>
        <w:t>Case-law developments</w:t>
      </w:r>
    </w:p>
    <w:p w14:paraId="0B24471D" w14:textId="77777777" w:rsidR="001519E1" w:rsidRPr="009B468B" w:rsidRDefault="001519E1" w:rsidP="001519E1">
      <w:pPr>
        <w:spacing w:line="360" w:lineRule="auto"/>
        <w:jc w:val="both"/>
        <w:rPr>
          <w:rFonts w:ascii="Times New Roman" w:hAnsi="Times New Roman"/>
          <w:b/>
          <w:bCs/>
          <w:szCs w:val="24"/>
        </w:rPr>
      </w:pPr>
      <w:r>
        <w:rPr>
          <w:rFonts w:ascii="Times New Roman" w:hAnsi="Times New Roman"/>
          <w:b/>
          <w:bCs/>
          <w:szCs w:val="24"/>
        </w:rPr>
        <w:t>Recognition of marriages celebrated remotely</w:t>
      </w:r>
    </w:p>
    <w:p w14:paraId="09C8ECBE" w14:textId="77777777" w:rsidR="001519E1" w:rsidRPr="00AC7C91"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 xml:space="preserve">In accordance with Article 102 of the </w:t>
      </w:r>
      <w:hyperlink r:id="rId33" w:history="1">
        <w:r>
          <w:rPr>
            <w:rStyle w:val="Lienhypertexte"/>
            <w:rFonts w:ascii="Times New Roman" w:hAnsi="Times New Roman" w:cs="Times New Roman"/>
            <w:szCs w:val="24"/>
          </w:rPr>
          <w:t>Swiss Civil Code</w:t>
        </w:r>
      </w:hyperlink>
      <w:r>
        <w:rPr>
          <w:rFonts w:ascii="Times New Roman" w:hAnsi="Times New Roman" w:cs="Times New Roman"/>
          <w:szCs w:val="24"/>
        </w:rPr>
        <w:t xml:space="preserve">, the celebration of marriage takes place in the presence of both fiancés and two witnesses. Their mutual consent is expressed before the civil registrar. </w:t>
      </w:r>
    </w:p>
    <w:p w14:paraId="31438986" w14:textId="292276C7" w:rsidR="001519E1" w:rsidRPr="00AC7C91"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 xml:space="preserve">Judgment </w:t>
      </w:r>
      <w:hyperlink r:id="rId34" w:history="1">
        <w:r>
          <w:rPr>
            <w:rStyle w:val="Lienhypertexte"/>
            <w:rFonts w:ascii="Times New Roman" w:hAnsi="Times New Roman" w:cs="Times New Roman"/>
            <w:szCs w:val="24"/>
          </w:rPr>
          <w:t>5A_863/2024</w:t>
        </w:r>
      </w:hyperlink>
      <w:r>
        <w:rPr>
          <w:rFonts w:ascii="Times New Roman" w:hAnsi="Times New Roman" w:cs="Times New Roman"/>
          <w:szCs w:val="24"/>
        </w:rPr>
        <w:t xml:space="preserve"> (in German) of the Swiss Federal Supreme Court, delivered on 3 September 2025, clarifies the conditions for the recognition of a remote marriage. The Federal Supreme Court held that a marriage in which one of the spouses appears before the authority abroad and the other gives consent by telephone from Switzerland is not a validly celebrated marriage abroad. Consequently, it cannot be recognised or entered in the Swiss civil status register on the basis of Article 45 of the </w:t>
      </w:r>
      <w:hyperlink r:id="rId35" w:history="1">
        <w:r>
          <w:rPr>
            <w:rStyle w:val="Lienhypertexte"/>
            <w:rFonts w:ascii="Times New Roman" w:hAnsi="Times New Roman" w:cs="Times New Roman"/>
            <w:szCs w:val="24"/>
          </w:rPr>
          <w:t>Federal Act on Private International Law (PILA)</w:t>
        </w:r>
      </w:hyperlink>
      <w:r>
        <w:rPr>
          <w:rFonts w:ascii="Times New Roman" w:hAnsi="Times New Roman" w:cs="Times New Roman"/>
          <w:szCs w:val="24"/>
        </w:rPr>
        <w:t>.</w:t>
      </w:r>
    </w:p>
    <w:p w14:paraId="06FFA18A" w14:textId="77777777" w:rsidR="001519E1" w:rsidRPr="00AC7C91" w:rsidRDefault="001519E1" w:rsidP="001519E1">
      <w:pPr>
        <w:spacing w:line="360" w:lineRule="auto"/>
        <w:jc w:val="both"/>
        <w:rPr>
          <w:rFonts w:ascii="Times New Roman" w:hAnsi="Times New Roman" w:cs="Times New Roman"/>
          <w:b/>
          <w:bCs/>
          <w:szCs w:val="24"/>
        </w:rPr>
      </w:pPr>
      <w:r>
        <w:rPr>
          <w:rFonts w:ascii="Times New Roman" w:hAnsi="Times New Roman" w:cs="Times New Roman"/>
          <w:b/>
          <w:bCs/>
          <w:szCs w:val="24"/>
        </w:rPr>
        <w:t>Residence permit for the purpose of marriage</w:t>
      </w:r>
    </w:p>
    <w:p w14:paraId="17E4E607" w14:textId="77777777" w:rsidR="001519E1" w:rsidRDefault="001519E1" w:rsidP="001519E1">
      <w:pPr>
        <w:spacing w:line="360" w:lineRule="auto"/>
        <w:jc w:val="both"/>
        <w:rPr>
          <w:rFonts w:ascii="Times New Roman" w:hAnsi="Times New Roman" w:cs="Times New Roman"/>
          <w:szCs w:val="24"/>
        </w:rPr>
      </w:pPr>
      <w:r>
        <w:rPr>
          <w:rFonts w:ascii="Times New Roman" w:hAnsi="Times New Roman" w:cs="Times New Roman"/>
          <w:szCs w:val="24"/>
        </w:rPr>
        <w:t xml:space="preserve">Under Swiss law, the fiancés must provide proof of the legality of their stay in Switzerland (Art. 98 para. 4 of the </w:t>
      </w:r>
      <w:hyperlink r:id="rId36" w:history="1">
        <w:r>
          <w:rPr>
            <w:rStyle w:val="Lienhypertexte"/>
            <w:rFonts w:ascii="Times New Roman" w:hAnsi="Times New Roman" w:cs="Times New Roman"/>
            <w:szCs w:val="24"/>
          </w:rPr>
          <w:t>Swiss Civil Code </w:t>
        </w:r>
      </w:hyperlink>
      <w:r>
        <w:rPr>
          <w:rFonts w:ascii="Times New Roman" w:hAnsi="Times New Roman" w:cs="Times New Roman"/>
          <w:szCs w:val="24"/>
        </w:rPr>
        <w:t>), in particular by means of a residence permit or an entry visa, or, failing that, a certificate from the migration authorities authorising stay in Switzerland during the preparatory marriage procedure and the celebration of the marriage. The Federal Supreme Court judgment of 1</w:t>
      </w:r>
      <w:r>
        <w:rPr>
          <w:rFonts w:ascii="Times New Roman" w:hAnsi="Times New Roman" w:cs="Times New Roman"/>
          <w:szCs w:val="24"/>
          <w:vertAlign w:val="superscript"/>
        </w:rPr>
        <w:t>st</w:t>
      </w:r>
      <w:r>
        <w:rPr>
          <w:rFonts w:ascii="Times New Roman" w:hAnsi="Times New Roman" w:cs="Times New Roman"/>
          <w:szCs w:val="24"/>
        </w:rPr>
        <w:t xml:space="preserve"> May 2025 (</w:t>
      </w:r>
      <w:hyperlink r:id="rId37" w:history="1">
        <w:r>
          <w:rPr>
            <w:rStyle w:val="Lienhypertexte"/>
            <w:rFonts w:ascii="Times New Roman" w:hAnsi="Times New Roman" w:cs="Times New Roman"/>
            <w:szCs w:val="24"/>
          </w:rPr>
          <w:t>2C_480/2024</w:t>
        </w:r>
      </w:hyperlink>
      <w:r>
        <w:rPr>
          <w:rFonts w:ascii="Times New Roman" w:hAnsi="Times New Roman" w:cs="Times New Roman"/>
          <w:szCs w:val="24"/>
        </w:rPr>
        <w:t xml:space="preserve">) held that a general refusal to issue a residence permit for the purpose of marriage to fiancés without a residence title violates the essence of the right to marry. </w:t>
      </w:r>
    </w:p>
    <w:p w14:paraId="43596B8A" w14:textId="77777777" w:rsidR="001519E1" w:rsidRDefault="001519E1" w:rsidP="001519E1">
      <w:pPr>
        <w:spacing w:line="360" w:lineRule="auto"/>
        <w:jc w:val="both"/>
        <w:rPr>
          <w:rFonts w:ascii="Times New Roman" w:hAnsi="Times New Roman" w:cs="Times New Roman"/>
          <w:szCs w:val="24"/>
        </w:rPr>
      </w:pPr>
    </w:p>
    <w:p w14:paraId="2CA678B9" w14:textId="7575E6C1" w:rsidR="001519E1" w:rsidRPr="007A1E5C" w:rsidRDefault="001519E1" w:rsidP="001519E1">
      <w:pPr>
        <w:pStyle w:val="Paragraphedeliste"/>
        <w:numPr>
          <w:ilvl w:val="0"/>
          <w:numId w:val="15"/>
        </w:numPr>
        <w:spacing w:line="360" w:lineRule="auto"/>
        <w:jc w:val="both"/>
        <w:rPr>
          <w:rFonts w:ascii="Times New Roman" w:hAnsi="Times New Roman"/>
          <w:b/>
          <w:bCs/>
          <w:sz w:val="24"/>
          <w:szCs w:val="24"/>
          <w:lang w:val="en-GB"/>
        </w:rPr>
      </w:pPr>
      <w:r>
        <w:rPr>
          <w:rFonts w:ascii="Times New Roman" w:hAnsi="Times New Roman"/>
          <w:b/>
          <w:bCs/>
          <w:sz w:val="24"/>
          <w:szCs w:val="24"/>
          <w:lang w:val="en-GB"/>
        </w:rPr>
        <w:t>Directives</w:t>
      </w:r>
    </w:p>
    <w:p w14:paraId="09721997" w14:textId="77777777" w:rsidR="001519E1" w:rsidRDefault="00A24DD5" w:rsidP="001519E1">
      <w:pPr>
        <w:spacing w:after="150" w:line="360" w:lineRule="auto"/>
        <w:jc w:val="both"/>
        <w:rPr>
          <w:rFonts w:ascii="Times New Roman" w:hAnsi="Times New Roman" w:cs="Times New Roman"/>
        </w:rPr>
      </w:pPr>
      <w:hyperlink r:id="rId38" w:history="1">
        <w:r>
          <w:rPr>
            <w:rStyle w:val="Lienhypertexte"/>
            <w:rFonts w:ascii="Times New Roman" w:hAnsi="Times New Roman" w:cs="Times New Roman"/>
          </w:rPr>
          <w:t>FOCS Directive No. 10.22.04.01 on Marriage for All </w:t>
        </w:r>
      </w:hyperlink>
      <w:r>
        <w:rPr>
          <w:rFonts w:ascii="Times New Roman" w:hAnsi="Times New Roman" w:cs="Times New Roman"/>
        </w:rPr>
        <w:t xml:space="preserve">: it implements the update of 15 July 2025 with additions relating to the reservation concerning the </w:t>
      </w:r>
      <w:hyperlink r:id="rId39" w:history="1">
        <w:r>
          <w:rPr>
            <w:rStyle w:val="Lienhypertexte"/>
            <w:rFonts w:ascii="Times New Roman" w:hAnsi="Times New Roman" w:cs="Times New Roman"/>
          </w:rPr>
          <w:t>Agreement between the Swiss Confederation, of the one part, and the European Community and its Member States, of the other part, on the free movement of persons</w:t>
        </w:r>
      </w:hyperlink>
      <w:r>
        <w:rPr>
          <w:rFonts w:ascii="Times New Roman" w:hAnsi="Times New Roman" w:cs="Times New Roman"/>
        </w:rPr>
        <w:t xml:space="preserve"> and the </w:t>
      </w:r>
      <w:hyperlink r:id="rId40" w:history="1">
        <w:r>
          <w:rPr>
            <w:rStyle w:val="Lienhypertexte"/>
            <w:rFonts w:ascii="Times New Roman" w:hAnsi="Times New Roman" w:cs="Times New Roman"/>
          </w:rPr>
          <w:t>Convention establishing the European Free Trade Association (EFTA),</w:t>
        </w:r>
      </w:hyperlink>
      <w:r>
        <w:rPr>
          <w:rFonts w:ascii="Times New Roman" w:hAnsi="Times New Roman" w:cs="Times New Roman"/>
        </w:rPr>
        <w:t xml:space="preserve"> as international treaties under Article 1 paragraph 2 of the </w:t>
      </w:r>
      <w:hyperlink r:id="rId41" w:history="1">
        <w:r>
          <w:rPr>
            <w:rStyle w:val="Lienhypertexte"/>
            <w:rFonts w:ascii="Times New Roman" w:hAnsi="Times New Roman" w:cs="Times New Roman"/>
          </w:rPr>
          <w:t>Federal Act on Private International Law</w:t>
        </w:r>
      </w:hyperlink>
      <w:r>
        <w:rPr>
          <w:rFonts w:ascii="Times New Roman" w:hAnsi="Times New Roman" w:cs="Times New Roman"/>
        </w:rPr>
        <w:t xml:space="preserve">. The relevant case law of the CJEU, notably the judgment of 14 December 2021, </w:t>
      </w:r>
      <w:proofErr w:type="spellStart"/>
      <w:r>
        <w:rPr>
          <w:rFonts w:ascii="Times New Roman" w:hAnsi="Times New Roman" w:cs="Times New Roman"/>
        </w:rPr>
        <w:t>Stolichna</w:t>
      </w:r>
      <w:proofErr w:type="spellEnd"/>
      <w:r>
        <w:rPr>
          <w:rFonts w:ascii="Times New Roman" w:hAnsi="Times New Roman" w:cs="Times New Roman"/>
        </w:rPr>
        <w:t xml:space="preserve"> </w:t>
      </w:r>
      <w:proofErr w:type="spellStart"/>
      <w:r>
        <w:rPr>
          <w:rFonts w:ascii="Times New Roman" w:hAnsi="Times New Roman" w:cs="Times New Roman"/>
        </w:rPr>
        <w:t>obshtina</w:t>
      </w:r>
      <w:proofErr w:type="spellEnd"/>
      <w:r>
        <w:rPr>
          <w:rFonts w:ascii="Times New Roman" w:hAnsi="Times New Roman" w:cs="Times New Roman"/>
        </w:rPr>
        <w:t xml:space="preserve">, rayon </w:t>
      </w:r>
      <w:proofErr w:type="spellStart"/>
      <w:r>
        <w:rPr>
          <w:rFonts w:ascii="Times New Roman" w:hAnsi="Times New Roman" w:cs="Times New Roman"/>
        </w:rPr>
        <w:t>Pancharevo</w:t>
      </w:r>
      <w:proofErr w:type="spellEnd"/>
      <w:r>
        <w:rPr>
          <w:rFonts w:ascii="Times New Roman" w:hAnsi="Times New Roman" w:cs="Times New Roman"/>
        </w:rPr>
        <w:t>, C-490/20, is taken into account (see item 5 of the Directive).</w:t>
      </w:r>
    </w:p>
    <w:p w14:paraId="794C7B29" w14:textId="0F3DCE61" w:rsidR="001519E1" w:rsidRDefault="001519E1" w:rsidP="001519E1">
      <w:pPr>
        <w:spacing w:line="360" w:lineRule="auto"/>
        <w:jc w:val="both"/>
        <w:rPr>
          <w:rFonts w:ascii="Times New Roman" w:hAnsi="Times New Roman" w:cs="Times New Roman"/>
          <w:szCs w:val="24"/>
        </w:rPr>
      </w:pPr>
    </w:p>
    <w:p w14:paraId="512305C1" w14:textId="47A09587" w:rsidR="00057808" w:rsidRDefault="00057808" w:rsidP="001519E1">
      <w:pPr>
        <w:spacing w:line="360" w:lineRule="auto"/>
        <w:jc w:val="both"/>
        <w:rPr>
          <w:rFonts w:ascii="Times New Roman" w:hAnsi="Times New Roman" w:cs="Times New Roman"/>
          <w:szCs w:val="24"/>
        </w:rPr>
      </w:pPr>
    </w:p>
    <w:p w14:paraId="769542C4" w14:textId="77777777" w:rsidR="00057808" w:rsidRPr="00AC7C91" w:rsidRDefault="00057808" w:rsidP="001519E1">
      <w:pPr>
        <w:spacing w:line="360" w:lineRule="auto"/>
        <w:jc w:val="both"/>
        <w:rPr>
          <w:rFonts w:ascii="Times New Roman" w:hAnsi="Times New Roman" w:cs="Times New Roman"/>
          <w:szCs w:val="24"/>
        </w:rPr>
      </w:pPr>
    </w:p>
    <w:p w14:paraId="061DD4C6" w14:textId="77777777" w:rsidR="001519E1" w:rsidRDefault="001519E1" w:rsidP="001519E1">
      <w:pPr>
        <w:spacing w:line="360" w:lineRule="auto"/>
        <w:jc w:val="both"/>
        <w:rPr>
          <w:rFonts w:ascii="Times New Roman" w:hAnsi="Times New Roman" w:cs="Times New Roman"/>
          <w:b/>
          <w:szCs w:val="24"/>
          <w:u w:val="single"/>
        </w:rPr>
      </w:pPr>
      <w:r>
        <w:rPr>
          <w:rFonts w:ascii="Times New Roman" w:hAnsi="Times New Roman" w:cs="Times New Roman"/>
          <w:b/>
          <w:szCs w:val="24"/>
          <w:u w:val="single"/>
        </w:rPr>
        <w:t>V – Nationality</w:t>
      </w:r>
    </w:p>
    <w:p w14:paraId="41787397" w14:textId="77777777" w:rsidR="001519E1" w:rsidRPr="00BF6CF6" w:rsidRDefault="001519E1" w:rsidP="001519E1">
      <w:pPr>
        <w:spacing w:line="360" w:lineRule="auto"/>
        <w:jc w:val="both"/>
        <w:rPr>
          <w:rFonts w:ascii="Times New Roman" w:hAnsi="Times New Roman" w:cs="Times New Roman"/>
          <w:b/>
          <w:szCs w:val="24"/>
          <w:u w:val="single"/>
        </w:rPr>
      </w:pPr>
    </w:p>
    <w:p w14:paraId="5CBFB9E9" w14:textId="6E3D9AEC" w:rsidR="001519E1"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A – Switzerland</w:t>
      </w:r>
    </w:p>
    <w:p w14:paraId="424C186E" w14:textId="77777777" w:rsidR="001519E1" w:rsidRPr="00B42C13" w:rsidRDefault="001519E1" w:rsidP="001519E1">
      <w:pPr>
        <w:spacing w:line="360" w:lineRule="auto"/>
        <w:jc w:val="both"/>
        <w:rPr>
          <w:rStyle w:val="Lienhypertexte"/>
        </w:rPr>
      </w:pPr>
      <w:r>
        <w:rPr>
          <w:rStyle w:val="Lienhypertexte"/>
          <w:rFonts w:ascii="Times New Roman" w:hAnsi="Times New Roman" w:cs="Times New Roman"/>
        </w:rPr>
        <w:t>FOCS Directive No. 10.26.03.01 on the acquisition of Italian nationality by birth in Switzerland</w:t>
      </w:r>
      <w:proofErr w:type="gramStart"/>
      <w:r>
        <w:rPr>
          <w:rStyle w:val="Lienhypertexte"/>
          <w:rFonts w:ascii="Times New Roman" w:hAnsi="Times New Roman" w:cs="Times New Roman"/>
        </w:rPr>
        <w:t>: </w:t>
      </w:r>
      <w:r>
        <w:rPr>
          <w:rStyle w:val="Lienhypertexte"/>
        </w:rPr>
        <w:t>:</w:t>
      </w:r>
      <w:proofErr w:type="gramEnd"/>
    </w:p>
    <w:p w14:paraId="7C52064E" w14:textId="77777777" w:rsidR="001519E1" w:rsidRDefault="001519E1" w:rsidP="001519E1">
      <w:pPr>
        <w:spacing w:line="360" w:lineRule="auto"/>
        <w:jc w:val="both"/>
        <w:rPr>
          <w:rFonts w:ascii="Times New Roman" w:hAnsi="Times New Roman" w:cs="Times New Roman"/>
        </w:rPr>
      </w:pPr>
      <w:r>
        <w:rPr>
          <w:rFonts w:ascii="Times New Roman" w:hAnsi="Times New Roman" w:cs="Times New Roman"/>
        </w:rPr>
        <w:t xml:space="preserve">Children born in Switzerland after 23 May 2025 of whom one parent holds Italian nationality face the following problem. The new Italian legislation introduces restrictions on the automatic acquisition </w:t>
      </w:r>
      <w:r>
        <w:rPr>
          <w:rFonts w:ascii="Times New Roman" w:hAnsi="Times New Roman" w:cs="Times New Roman"/>
          <w:i/>
          <w:iCs/>
        </w:rPr>
        <w:t>jure sanguinis</w:t>
      </w:r>
      <w:r>
        <w:rPr>
          <w:rFonts w:ascii="Times New Roman" w:hAnsi="Times New Roman" w:cs="Times New Roman"/>
        </w:rPr>
        <w:t xml:space="preserve"> of Italian nationality. In accordance with the amending law, the granting of Italian nationality will have to be verified on a case-by-case basis by the competent Consulate General of Italy. The foreign nationality entered in the Swiss civil status register (</w:t>
      </w:r>
      <w:proofErr w:type="spellStart"/>
      <w:r>
        <w:rPr>
          <w:rFonts w:ascii="Times New Roman" w:hAnsi="Times New Roman" w:cs="Times New Roman"/>
        </w:rPr>
        <w:t>Infostar</w:t>
      </w:r>
      <w:proofErr w:type="spellEnd"/>
      <w:r>
        <w:rPr>
          <w:rFonts w:ascii="Times New Roman" w:hAnsi="Times New Roman" w:cs="Times New Roman"/>
        </w:rPr>
        <w:t xml:space="preserve">) is data processed for information purposes only. It has no probative force within the meaning of Article 9 </w:t>
      </w:r>
      <w:r>
        <w:rPr>
          <w:rFonts w:ascii="Times New Roman" w:hAnsi="Times New Roman" w:cs="Times New Roman"/>
          <w:color w:val="000000"/>
        </w:rPr>
        <w:t xml:space="preserve">of the </w:t>
      </w:r>
      <w:hyperlink r:id="rId42" w:history="1">
        <w:r>
          <w:rPr>
            <w:rStyle w:val="Lienhypertexte"/>
            <w:rFonts w:ascii="Times New Roman" w:hAnsi="Times New Roman" w:cs="Times New Roman"/>
          </w:rPr>
          <w:t>Swiss Civil Code</w:t>
        </w:r>
      </w:hyperlink>
      <w:r>
        <w:rPr>
          <w:rFonts w:ascii="Times New Roman" w:hAnsi="Times New Roman" w:cs="Times New Roman"/>
        </w:rPr>
        <w:t>. It is a public-law notion that falls within the sovereignty of the Italian State.</w:t>
      </w:r>
    </w:p>
    <w:p w14:paraId="71C8D013" w14:textId="77777777" w:rsidR="001519E1" w:rsidRDefault="001519E1" w:rsidP="001519E1">
      <w:pPr>
        <w:spacing w:line="360" w:lineRule="auto"/>
        <w:jc w:val="both"/>
        <w:rPr>
          <w:rFonts w:ascii="Times New Roman" w:hAnsi="Times New Roman" w:cs="Times New Roman"/>
        </w:rPr>
      </w:pPr>
    </w:p>
    <w:p w14:paraId="721AF009" w14:textId="77777777" w:rsidR="00A178A1" w:rsidRDefault="001519E1" w:rsidP="00A178A1">
      <w:pPr>
        <w:spacing w:line="360" w:lineRule="auto"/>
        <w:jc w:val="both"/>
        <w:rPr>
          <w:rFonts w:ascii="Times New Roman" w:hAnsi="Times New Roman" w:cs="Times New Roman"/>
          <w:b/>
          <w:bCs/>
        </w:rPr>
      </w:pPr>
      <w:r>
        <w:rPr>
          <w:rFonts w:ascii="Times New Roman" w:hAnsi="Times New Roman" w:cs="Times New Roman"/>
          <w:b/>
          <w:bCs/>
        </w:rPr>
        <w:t>B – Belgium</w:t>
      </w:r>
    </w:p>
    <w:p w14:paraId="17891F3F" w14:textId="77777777" w:rsidR="00A178A1" w:rsidRDefault="00A178A1" w:rsidP="00A178A1">
      <w:pPr>
        <w:spacing w:line="360" w:lineRule="auto"/>
        <w:jc w:val="both"/>
        <w:rPr>
          <w:rFonts w:ascii="Times New Roman" w:hAnsi="Times New Roman" w:cs="Times New Roman"/>
          <w:b/>
          <w:bCs/>
        </w:rPr>
      </w:pPr>
    </w:p>
    <w:p w14:paraId="52B82F71" w14:textId="73D02246" w:rsidR="001519E1" w:rsidRPr="00A178A1" w:rsidRDefault="00A24DD5" w:rsidP="00A178A1">
      <w:pPr>
        <w:pStyle w:val="Paragraphedeliste"/>
        <w:numPr>
          <w:ilvl w:val="0"/>
          <w:numId w:val="22"/>
        </w:numPr>
        <w:spacing w:line="360" w:lineRule="auto"/>
        <w:jc w:val="both"/>
        <w:rPr>
          <w:rFonts w:ascii="Times New Roman" w:hAnsi="Times New Roman"/>
          <w:sz w:val="24"/>
          <w:szCs w:val="24"/>
          <w:lang w:val="en-GB"/>
        </w:rPr>
      </w:pPr>
      <w:hyperlink r:id="rId43" w:history="1">
        <w:r w:rsidRPr="00A178A1">
          <w:rPr>
            <w:rStyle w:val="Lienhypertexte"/>
            <w:rFonts w:ascii="Times New Roman" w:hAnsi="Times New Roman"/>
            <w:sz w:val="24"/>
            <w:szCs w:val="24"/>
            <w:lang w:val="en-GB"/>
          </w:rPr>
          <w:t>Programme Act of 18 July 2025 (registration fees for Belgian nationality)</w:t>
        </w:r>
      </w:hyperlink>
      <w:r w:rsidRPr="00A178A1">
        <w:rPr>
          <w:rFonts w:ascii="Times New Roman" w:hAnsi="Times New Roman"/>
          <w:sz w:val="24"/>
          <w:szCs w:val="24"/>
          <w:lang w:val="en-GB"/>
        </w:rPr>
        <w:t xml:space="preserve"> </w:t>
      </w:r>
    </w:p>
    <w:p w14:paraId="7F00E0C2" w14:textId="77777777" w:rsidR="001519E1" w:rsidRPr="007C7299" w:rsidRDefault="001519E1" w:rsidP="001519E1">
      <w:pPr>
        <w:spacing w:line="360" w:lineRule="auto"/>
        <w:jc w:val="both"/>
        <w:rPr>
          <w:rFonts w:ascii="Times New Roman" w:hAnsi="Times New Roman" w:cs="Times New Roman"/>
        </w:rPr>
      </w:pPr>
      <w:r>
        <w:rPr>
          <w:rFonts w:ascii="Times New Roman" w:hAnsi="Times New Roman" w:cs="Times New Roman"/>
        </w:rPr>
        <w:t>This act contains numerous provisions relating to finance, public health, social affairs, employment and pensions. As regards civil status, it should be noted that this act increased the registration fee on nationality acquisition procedures, raising it from 150 euros to 1,000 euros, with annual indexation and rounding.</w:t>
      </w:r>
    </w:p>
    <w:p w14:paraId="5FBB6318" w14:textId="77777777" w:rsidR="001519E1" w:rsidRDefault="001519E1" w:rsidP="001519E1">
      <w:pPr>
        <w:spacing w:line="360" w:lineRule="auto"/>
        <w:jc w:val="both"/>
        <w:rPr>
          <w:rFonts w:ascii="Times New Roman" w:hAnsi="Times New Roman" w:cs="Times New Roman"/>
        </w:rPr>
      </w:pPr>
      <w:r>
        <w:rPr>
          <w:rFonts w:ascii="Times New Roman" w:hAnsi="Times New Roman" w:cs="Times New Roman"/>
        </w:rPr>
        <w:t>The Act of 10 February 2026 introduced an exception for any foreigner who has the status of stateless person in Belgium under the international conventions in force there and who submits an application for naturalisation. For these persons, the fee is reduced to 150 euros, indexed.</w:t>
      </w:r>
    </w:p>
    <w:p w14:paraId="5D6A0F34" w14:textId="77777777" w:rsidR="007A1E5C" w:rsidRDefault="007A1E5C" w:rsidP="001519E1">
      <w:pPr>
        <w:spacing w:line="360" w:lineRule="auto"/>
        <w:jc w:val="both"/>
        <w:rPr>
          <w:rFonts w:ascii="Times New Roman" w:hAnsi="Times New Roman" w:cs="Times New Roman"/>
        </w:rPr>
      </w:pPr>
    </w:p>
    <w:p w14:paraId="141DA8B8" w14:textId="7ADFE2E7" w:rsidR="001519E1" w:rsidRPr="00A178A1" w:rsidRDefault="00A24DD5" w:rsidP="00A178A1">
      <w:pPr>
        <w:pStyle w:val="Paragraphedeliste"/>
        <w:numPr>
          <w:ilvl w:val="0"/>
          <w:numId w:val="22"/>
        </w:numPr>
        <w:spacing w:line="360" w:lineRule="auto"/>
        <w:jc w:val="both"/>
        <w:rPr>
          <w:rFonts w:ascii="Times New Roman" w:hAnsi="Times New Roman"/>
          <w:sz w:val="24"/>
          <w:szCs w:val="24"/>
          <w:lang w:val="en-GB"/>
        </w:rPr>
      </w:pPr>
      <w:hyperlink r:id="rId44" w:history="1">
        <w:r w:rsidRPr="00A178A1">
          <w:rPr>
            <w:rStyle w:val="Lienhypertexte"/>
            <w:rFonts w:ascii="Times New Roman" w:hAnsi="Times New Roman"/>
            <w:sz w:val="24"/>
            <w:szCs w:val="24"/>
            <w:lang w:val="en-GB"/>
          </w:rPr>
          <w:t>Act of 8 February 2026 on the forfeiture of Belgian nationality</w:t>
        </w:r>
      </w:hyperlink>
      <w:r w:rsidRPr="00A178A1">
        <w:rPr>
          <w:rFonts w:ascii="Times New Roman" w:hAnsi="Times New Roman"/>
          <w:sz w:val="24"/>
          <w:szCs w:val="24"/>
          <w:lang w:val="en-GB"/>
        </w:rPr>
        <w:t xml:space="preserve"> </w:t>
      </w:r>
    </w:p>
    <w:p w14:paraId="50DE4434" w14:textId="66FF20F5" w:rsidR="001519E1" w:rsidRPr="007C7299" w:rsidRDefault="001519E1" w:rsidP="001519E1">
      <w:pPr>
        <w:spacing w:line="360" w:lineRule="auto"/>
        <w:jc w:val="both"/>
        <w:rPr>
          <w:rFonts w:ascii="Times New Roman" w:hAnsi="Times New Roman"/>
        </w:rPr>
      </w:pPr>
      <w:r>
        <w:rPr>
          <w:rFonts w:ascii="Times New Roman" w:hAnsi="Times New Roman"/>
        </w:rPr>
        <w:t>The Act of 8 February 2026 extends the list of offences, provided for in Article 23/1, § 1, 1°, of the Belgian Nationality Code, that may result in forfeiture of Belgian nationality. The aim is to allow forfeiture in the event of convictions for acts of organised crime in which the person played a decisive or leading role, or for homicide or sexual offences (</w:t>
      </w:r>
      <w:proofErr w:type="spellStart"/>
      <w:r>
        <w:rPr>
          <w:rFonts w:ascii="Times New Roman" w:hAnsi="Times New Roman"/>
        </w:rPr>
        <w:t>délits</w:t>
      </w:r>
      <w:proofErr w:type="spellEnd"/>
      <w:r>
        <w:rPr>
          <w:rFonts w:ascii="Times New Roman" w:hAnsi="Times New Roman"/>
        </w:rPr>
        <w:t xml:space="preserve"> de </w:t>
      </w:r>
      <w:proofErr w:type="spellStart"/>
      <w:r>
        <w:rPr>
          <w:rFonts w:ascii="Times New Roman" w:hAnsi="Times New Roman"/>
        </w:rPr>
        <w:t>mœurs</w:t>
      </w:r>
      <w:proofErr w:type="spellEnd"/>
      <w:r>
        <w:rPr>
          <w:rFonts w:ascii="Times New Roman" w:hAnsi="Times New Roman"/>
        </w:rPr>
        <w:t>), provided that the sentence imposed exceeds five years</w:t>
      </w:r>
      <w:r w:rsidR="00A30047">
        <w:rPr>
          <w:rFonts w:ascii="Times New Roman" w:hAnsi="Times New Roman"/>
        </w:rPr>
        <w:t>’</w:t>
      </w:r>
      <w:r>
        <w:rPr>
          <w:rFonts w:ascii="Times New Roman" w:hAnsi="Times New Roman"/>
        </w:rPr>
        <w:t xml:space="preserve"> imprisonment. All the offences listed in this article may result in forfeiture of nationality if the person concerned acquired Belgian nationality in the 15 years preceding the commission of the punishable acts. </w:t>
      </w:r>
    </w:p>
    <w:p w14:paraId="79EB62EB" w14:textId="77777777" w:rsidR="001519E1" w:rsidRPr="007C7299" w:rsidRDefault="001519E1" w:rsidP="001519E1">
      <w:pPr>
        <w:spacing w:line="360" w:lineRule="auto"/>
        <w:jc w:val="both"/>
        <w:rPr>
          <w:rFonts w:ascii="Times New Roman" w:hAnsi="Times New Roman" w:cs="Times New Roman"/>
        </w:rPr>
      </w:pPr>
      <w:r>
        <w:rPr>
          <w:rFonts w:ascii="Times New Roman" w:hAnsi="Times New Roman" w:cs="Times New Roman"/>
        </w:rPr>
        <w:t>As part of the fight against radicalisation and terrorism, it is provided that the court will rule ex officio on the question of the supplementary penalty of forfeiture of nationality for dual nationals. If the judge decides not to pronounce forfeiture of Belgian nationality on the ground that its consequences would be manifestly unreasonable and disproportionate, he or she must do so in a specially reasoned judgment.</w:t>
      </w:r>
    </w:p>
    <w:p w14:paraId="563EBE04" w14:textId="77777777" w:rsidR="001519E1" w:rsidRDefault="001519E1" w:rsidP="001519E1">
      <w:pPr>
        <w:spacing w:line="360" w:lineRule="auto"/>
        <w:jc w:val="both"/>
      </w:pPr>
    </w:p>
    <w:p w14:paraId="3BC96A92" w14:textId="0ABFED1D" w:rsidR="001519E1" w:rsidRPr="007A1E5C" w:rsidRDefault="001519E1" w:rsidP="001519E1">
      <w:pPr>
        <w:spacing w:line="360" w:lineRule="auto"/>
        <w:jc w:val="both"/>
        <w:rPr>
          <w:rFonts w:ascii="Times New Roman" w:hAnsi="Times New Roman" w:cs="Times New Roman"/>
          <w:b/>
          <w:bCs/>
        </w:rPr>
      </w:pPr>
      <w:r>
        <w:rPr>
          <w:rFonts w:ascii="Times New Roman" w:hAnsi="Times New Roman" w:cs="Times New Roman"/>
          <w:b/>
          <w:bCs/>
        </w:rPr>
        <w:t>C – Benin</w:t>
      </w:r>
    </w:p>
    <w:p w14:paraId="59648694" w14:textId="6EF72951" w:rsidR="007A1E5C"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xml:space="preserve">Benin has consolidated its memorial and inclusion legal framework through </w:t>
      </w:r>
      <w:hyperlink r:id="rId45" w:history="1">
        <w:r w:rsidR="001855D5">
          <w:rPr>
            <w:rStyle w:val="Lienhypertexte"/>
            <w:rFonts w:ascii="Times New Roman" w:eastAsia="Times New Roman" w:hAnsi="Times New Roman" w:cs="Times New Roman"/>
            <w:kern w:val="0"/>
            <w:szCs w:val="24"/>
            <w:lang w:eastAsia="fr-FR"/>
            <w14:ligatures w14:val="none"/>
            <w14:numForm w14:val="default"/>
            <w14:numSpacing w14:val="default"/>
          </w:rPr>
          <w:t>Act No. 2024-31 of 2 September 2024 on the recognition of Beninese nationality for persons of African descent, as amended and supplemented by Act No. 2025-11 of 1st July 2025</w:t>
        </w:r>
      </w:hyperlink>
      <w:r>
        <w:rPr>
          <w:rFonts w:ascii="Times New Roman" w:eastAsia="Times New Roman" w:hAnsi="Times New Roman" w:cs="Times New Roman"/>
          <w:kern w:val="0"/>
          <w:szCs w:val="24"/>
          <w:lang w:eastAsia="fr-FR"/>
          <w14:ligatures w14:val="none"/>
          <w14:numForm w14:val="default"/>
          <w14:numSpacing w14:val="default"/>
        </w:rPr>
        <w:t>. This legislation defines the arrangements for the acquisition of Beninese nationality by recognition for the benefit of descendants of Africans deported during the slave trade who can show family, historical and cultural ties with Africa. Adult nationals of a non-African State or territory who provide proof of their African descent may benefit. The application may now be made from outside the national territory. The adoption of this amending act, at the initiative of the Government, aims to harmonise the system and to prevent its implementation from being hindered by the coexistence of heterogeneous legal regimes, while strengthening the role of civil status as an instrument of memory and reparation.</w:t>
      </w:r>
    </w:p>
    <w:p w14:paraId="3C408D1A" w14:textId="008BB589" w:rsidR="001519E1" w:rsidRPr="00457D01" w:rsidRDefault="001519E1" w:rsidP="001519E1">
      <w:pPr>
        <w:spacing w:before="0" w:after="160" w:line="360" w:lineRule="auto"/>
        <w:jc w:val="both"/>
        <w:rPr>
          <w:rFonts w:ascii="Times New Roman" w:eastAsia="Times New Roman" w:hAnsi="Times New Roman" w:cs="Times New Roman"/>
          <w:b/>
          <w:bCs/>
          <w:kern w:val="0"/>
          <w:szCs w:val="24"/>
          <w:lang w:eastAsia="fr-FR"/>
          <w14:ligatures w14:val="none"/>
          <w14:numForm w14:val="default"/>
          <w14:numSpacing w14:val="default"/>
        </w:rPr>
      </w:pPr>
      <w:r>
        <w:rPr>
          <w:rFonts w:ascii="Times New Roman" w:eastAsia="Times New Roman" w:hAnsi="Times New Roman" w:cs="Times New Roman"/>
          <w:b/>
          <w:bCs/>
          <w:kern w:val="0"/>
          <w:szCs w:val="24"/>
          <w:lang w:eastAsia="fr-FR"/>
          <w14:ligatures w14:val="none"/>
          <w14:numForm w14:val="default"/>
          <w14:numSpacing w14:val="default"/>
        </w:rPr>
        <w:t>D – Italy</w:t>
      </w:r>
    </w:p>
    <w:p w14:paraId="1371EED9" w14:textId="77777777" w:rsidR="001519E1" w:rsidRPr="00457D01"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b/>
          <w:bCs/>
          <w:kern w:val="0"/>
          <w:szCs w:val="24"/>
          <w:lang w:eastAsia="fr-FR"/>
          <w14:ligatures w14:val="none"/>
          <w14:numForm w14:val="default"/>
          <w14:numSpacing w14:val="default"/>
        </w:rPr>
        <w:t xml:space="preserve">Restriction of transmission </w:t>
      </w:r>
      <w:r>
        <w:rPr>
          <w:rFonts w:ascii="Times New Roman" w:eastAsia="Times New Roman" w:hAnsi="Times New Roman" w:cs="Times New Roman"/>
          <w:b/>
          <w:bCs/>
          <w:i/>
          <w:iCs/>
          <w:kern w:val="0"/>
          <w:szCs w:val="24"/>
          <w:lang w:eastAsia="fr-FR"/>
          <w14:ligatures w14:val="none"/>
          <w14:numForm w14:val="default"/>
          <w14:numSpacing w14:val="default"/>
        </w:rPr>
        <w:t xml:space="preserve">jure </w:t>
      </w:r>
      <w:proofErr w:type="gramStart"/>
      <w:r>
        <w:rPr>
          <w:rFonts w:ascii="Times New Roman" w:eastAsia="Times New Roman" w:hAnsi="Times New Roman" w:cs="Times New Roman"/>
          <w:b/>
          <w:bCs/>
          <w:i/>
          <w:iCs/>
          <w:kern w:val="0"/>
          <w:szCs w:val="24"/>
          <w:lang w:eastAsia="fr-FR"/>
          <w14:ligatures w14:val="none"/>
          <w14:numForm w14:val="default"/>
          <w14:numSpacing w14:val="default"/>
        </w:rPr>
        <w:t>sanguinis</w:t>
      </w:r>
      <w:r>
        <w:rPr>
          <w:rFonts w:ascii="Times New Roman" w:eastAsia="Times New Roman" w:hAnsi="Times New Roman" w:cs="Times New Roman"/>
          <w:b/>
          <w:bCs/>
          <w:kern w:val="0"/>
          <w:szCs w:val="24"/>
          <w:lang w:eastAsia="fr-FR"/>
          <w14:ligatures w14:val="none"/>
          <w14:numForm w14:val="default"/>
          <w14:numSpacing w14:val="default"/>
        </w:rPr>
        <w:t xml:space="preserve"> :</w:t>
      </w:r>
      <w:proofErr w:type="gramEnd"/>
      <w:r>
        <w:rPr>
          <w:rFonts w:ascii="Times New Roman" w:eastAsia="Times New Roman" w:hAnsi="Times New Roman" w:cs="Times New Roman"/>
          <w:b/>
          <w:bCs/>
          <w:kern w:val="0"/>
          <w:szCs w:val="24"/>
          <w:lang w:eastAsia="fr-FR"/>
          <w14:ligatures w14:val="none"/>
          <w14:numForm w14:val="default"/>
          <w14:numSpacing w14:val="default"/>
        </w:rPr>
        <w:t xml:space="preserve"> state of the case law</w:t>
      </w:r>
    </w:p>
    <w:p w14:paraId="14E4AA7D" w14:textId="77777777" w:rsidR="001519E1"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xml:space="preserve">Decree-Law No. 36 of 28 March 2025, converted into </w:t>
      </w:r>
      <w:hyperlink r:id="rId46" w:history="1">
        <w:r>
          <w:rPr>
            <w:rStyle w:val="Lienhypertexte"/>
            <w:rFonts w:ascii="Times New Roman" w:eastAsia="Times New Roman" w:hAnsi="Times New Roman" w:cs="Times New Roman"/>
            <w:kern w:val="0"/>
            <w:szCs w:val="24"/>
            <w:lang w:eastAsia="fr-FR"/>
            <w14:ligatures w14:val="none"/>
            <w14:numForm w14:val="default"/>
            <w14:numSpacing w14:val="default"/>
          </w:rPr>
          <w:t>Law No. 74 of 23 May 2025</w:t>
        </w:r>
      </w:hyperlink>
      <w:r>
        <w:rPr>
          <w:rFonts w:ascii="Times New Roman" w:eastAsia="Times New Roman" w:hAnsi="Times New Roman" w:cs="Times New Roman"/>
          <w:kern w:val="0"/>
          <w:szCs w:val="24"/>
          <w:lang w:eastAsia="fr-FR"/>
          <w14:ligatures w14:val="none"/>
          <w14:numForm w14:val="default"/>
          <w14:numSpacing w14:val="default"/>
        </w:rPr>
        <w:t xml:space="preserve">, introduced an Article 3-bis into the 1992 Nationality Act. </w:t>
      </w:r>
    </w:p>
    <w:p w14:paraId="236D44F8" w14:textId="77777777" w:rsidR="001519E1" w:rsidRPr="00457D01"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A person born abroad and holding another nationality is now, in principle, considered never to have acquired Italian nationality, even if he or she descends from an Italian citizen and even if born before 28 March 2025.</w:t>
      </w:r>
    </w:p>
    <w:p w14:paraId="31FBA37B" w14:textId="77777777" w:rsidR="001519E1"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xml:space="preserve">This solution forms part of a logic of restriction </w:t>
      </w:r>
      <w:r>
        <w:rPr>
          <w:rFonts w:ascii="Times New Roman" w:hAnsi="Times New Roman" w:cs="Times New Roman"/>
        </w:rPr>
        <w:t xml:space="preserve">with regard to the transmission of Italian nationality </w:t>
      </w:r>
      <w:proofErr w:type="spellStart"/>
      <w:r>
        <w:rPr>
          <w:rStyle w:val="Accentuation"/>
          <w:rFonts w:ascii="Times New Roman" w:hAnsi="Times New Roman" w:cs="Times New Roman"/>
        </w:rPr>
        <w:t>iure</w:t>
      </w:r>
      <w:proofErr w:type="spellEnd"/>
      <w:r>
        <w:rPr>
          <w:rStyle w:val="Accentuation"/>
          <w:rFonts w:ascii="Times New Roman" w:hAnsi="Times New Roman" w:cs="Times New Roman"/>
        </w:rPr>
        <w:t xml:space="preserve"> sanguinis</w:t>
      </w:r>
      <w:r>
        <w:rPr>
          <w:rFonts w:ascii="Times New Roman" w:hAnsi="Times New Roman" w:cs="Times New Roman"/>
        </w:rPr>
        <w:t xml:space="preserve"> to persons born abroad.</w:t>
      </w:r>
    </w:p>
    <w:p w14:paraId="1DBB60CE" w14:textId="77777777" w:rsidR="001519E1" w:rsidRPr="00457D01"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xml:space="preserve">There are a few exceptions, notably where a parent or grandparent held Italian nationality only. </w:t>
      </w:r>
    </w:p>
    <w:p w14:paraId="387D7E60" w14:textId="77777777" w:rsidR="001519E1" w:rsidRPr="00457D01" w:rsidRDefault="001519E1" w:rsidP="001519E1">
      <w:p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Three recent decisions deserve to be noted:</w:t>
      </w:r>
    </w:p>
    <w:p w14:paraId="416603EA" w14:textId="77777777" w:rsidR="001519E1" w:rsidRPr="00457D01" w:rsidRDefault="001519E1" w:rsidP="001519E1">
      <w:pPr>
        <w:numPr>
          <w:ilvl w:val="0"/>
          <w:numId w:val="18"/>
        </w:num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xml:space="preserve">By </w:t>
      </w:r>
      <w:hyperlink r:id="rId47" w:history="1">
        <w:r>
          <w:rPr>
            <w:rStyle w:val="Lienhypertexte"/>
            <w:rFonts w:ascii="Times New Roman" w:eastAsia="Times New Roman" w:hAnsi="Times New Roman" w:cs="Times New Roman"/>
            <w:kern w:val="0"/>
            <w:szCs w:val="24"/>
            <w:lang w:eastAsia="fr-FR"/>
            <w14:ligatures w14:val="none"/>
            <w14:numForm w14:val="default"/>
            <w14:numSpacing w14:val="default"/>
          </w:rPr>
          <w:t>judgment No. 63 of 30 April 2026</w:t>
        </w:r>
      </w:hyperlink>
      <w:r>
        <w:rPr>
          <w:rFonts w:ascii="Times New Roman" w:eastAsia="Times New Roman" w:hAnsi="Times New Roman" w:cs="Times New Roman"/>
          <w:kern w:val="0"/>
          <w:szCs w:val="24"/>
          <w:lang w:eastAsia="fr-FR"/>
          <w14:ligatures w14:val="none"/>
          <w14:numForm w14:val="default"/>
          <w14:numSpacing w14:val="default"/>
        </w:rPr>
        <w:t xml:space="preserve">, the Constitutional Court held the main questions raised against this new regime to be unfounded and those based on international norms inadmissible. It considered that the law establishes an original exclusion from the acquisition of nationality, and not a forfeiture, since it concerns statuses never officially recognised. </w:t>
      </w:r>
    </w:p>
    <w:p w14:paraId="01B0F616" w14:textId="77777777" w:rsidR="001519E1" w:rsidRPr="00457D01" w:rsidRDefault="001519E1" w:rsidP="001519E1">
      <w:pPr>
        <w:numPr>
          <w:ilvl w:val="0"/>
          <w:numId w:val="18"/>
        </w:num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On 12 May 2026, the Court of Cassation (</w:t>
      </w:r>
      <w:hyperlink r:id="rId48" w:history="1">
        <w:r>
          <w:rPr>
            <w:rStyle w:val="Lienhypertexte"/>
            <w:rFonts w:ascii="Times New Roman" w:eastAsia="Times New Roman" w:hAnsi="Times New Roman" w:cs="Times New Roman"/>
            <w:kern w:val="0"/>
            <w:szCs w:val="24"/>
            <w:lang w:eastAsia="fr-FR"/>
            <w14:ligatures w14:val="none"/>
            <w14:numForm w14:val="default"/>
            <w14:numSpacing w14:val="default"/>
          </w:rPr>
          <w:t>order No. 13818</w:t>
        </w:r>
      </w:hyperlink>
      <w:r>
        <w:rPr>
          <w:rFonts w:ascii="Times New Roman" w:eastAsia="Times New Roman" w:hAnsi="Times New Roman" w:cs="Times New Roman"/>
          <w:kern w:val="0"/>
          <w:szCs w:val="24"/>
          <w:lang w:eastAsia="fr-FR"/>
          <w14:ligatures w14:val="none"/>
          <w14:numForm w14:val="default"/>
          <w14:numSpacing w14:val="default"/>
        </w:rPr>
        <w:t xml:space="preserve">) reaffirmed that the right to nationality by descent is permanent and not subject to limitation. It also held that standing to sue exists even where the administration has prevented the filing of the application, for example by not fixing an appointment. </w:t>
      </w:r>
    </w:p>
    <w:p w14:paraId="54E4446C" w14:textId="74EE0D0E" w:rsidR="001519E1" w:rsidRPr="00A24DD5" w:rsidRDefault="001519E1" w:rsidP="001519E1">
      <w:pPr>
        <w:numPr>
          <w:ilvl w:val="0"/>
          <w:numId w:val="18"/>
        </w:numPr>
        <w:spacing w:before="0" w:after="160" w:line="360" w:lineRule="auto"/>
        <w:jc w:val="both"/>
        <w:rPr>
          <w:rFonts w:ascii="Times New Roman" w:eastAsia="Times New Roman" w:hAnsi="Times New Roman" w:cs="Times New Roman"/>
          <w:kern w:val="0"/>
          <w:szCs w:val="24"/>
          <w:lang w:eastAsia="fr-FR"/>
          <w14:ligatures w14:val="none"/>
          <w14:numForm w14:val="default"/>
          <w14:numSpacing w14:val="default"/>
        </w:rPr>
      </w:pPr>
      <w:r>
        <w:rPr>
          <w:rFonts w:ascii="Times New Roman" w:eastAsia="Times New Roman" w:hAnsi="Times New Roman" w:cs="Times New Roman"/>
          <w:kern w:val="0"/>
          <w:szCs w:val="24"/>
          <w:lang w:eastAsia="fr-FR"/>
          <w14:ligatures w14:val="none"/>
          <w14:numForm w14:val="default"/>
          <w14:numSpacing w14:val="default"/>
        </w:rPr>
        <w:t xml:space="preserve">By </w:t>
      </w:r>
      <w:hyperlink r:id="rId49" w:history="1">
        <w:r>
          <w:rPr>
            <w:rStyle w:val="Lienhypertexte"/>
            <w:rFonts w:ascii="Times New Roman" w:eastAsia="Times New Roman" w:hAnsi="Times New Roman" w:cs="Times New Roman"/>
            <w:kern w:val="0"/>
            <w:szCs w:val="24"/>
            <w:lang w:eastAsia="fr-FR"/>
            <w14:ligatures w14:val="none"/>
            <w14:numForm w14:val="default"/>
            <w14:numSpacing w14:val="default"/>
          </w:rPr>
          <w:t>order No. 147</w:t>
        </w:r>
        <w:r>
          <w:rPr>
            <w:rStyle w:val="Lienhypertexte"/>
            <w:rFonts w:ascii="Times New Roman" w:eastAsia="Times New Roman" w:hAnsi="Times New Roman" w:cs="Times New Roman"/>
            <w:kern w:val="0"/>
            <w:szCs w:val="24"/>
            <w:u w:val="none"/>
            <w:lang w:eastAsia="fr-FR"/>
            <w14:ligatures w14:val="none"/>
            <w14:numForm w14:val="default"/>
            <w14:numSpacing w14:val="default"/>
          </w:rPr>
          <w:t xml:space="preserve"> </w:t>
        </w:r>
      </w:hyperlink>
      <w:r>
        <w:rPr>
          <w:rFonts w:ascii="Times New Roman" w:eastAsia="Times New Roman" w:hAnsi="Times New Roman" w:cs="Times New Roman"/>
          <w:kern w:val="0"/>
          <w:szCs w:val="24"/>
          <w:lang w:eastAsia="fr-FR"/>
          <w14:ligatures w14:val="none"/>
          <w14:numForm w14:val="default"/>
          <w14:numSpacing w14:val="default"/>
        </w:rPr>
        <w:t xml:space="preserve"> of 23 July 2026, the Constitutional Court referred a question for a preliminary ruling to the Court of Justice of the European Union on the compatibility of Article 3-bis with Articles 9 TEU and 20 TFEU, while reaffirming its position on the merits. The CJEU</w:t>
      </w:r>
      <w:r w:rsidR="00A30047">
        <w:rPr>
          <w:rFonts w:ascii="Times New Roman" w:eastAsia="Times New Roman" w:hAnsi="Times New Roman" w:cs="Times New Roman"/>
          <w:kern w:val="0"/>
          <w:szCs w:val="24"/>
          <w:lang w:eastAsia="fr-FR"/>
          <w14:ligatures w14:val="none"/>
          <w14:numForm w14:val="default"/>
          <w14:numSpacing w14:val="default"/>
        </w:rPr>
        <w:t>’</w:t>
      </w:r>
      <w:r>
        <w:rPr>
          <w:rFonts w:ascii="Times New Roman" w:eastAsia="Times New Roman" w:hAnsi="Times New Roman" w:cs="Times New Roman"/>
          <w:kern w:val="0"/>
          <w:szCs w:val="24"/>
          <w:lang w:eastAsia="fr-FR"/>
          <w14:ligatures w14:val="none"/>
          <w14:numForm w14:val="default"/>
          <w14:numSpacing w14:val="default"/>
        </w:rPr>
        <w:t xml:space="preserve">s decision will be decisive, since it will concern retroactive loss, and therefore also of European citizenship. </w:t>
      </w:r>
    </w:p>
    <w:p w14:paraId="3FECC1DF" w14:textId="77777777" w:rsidR="007A1E5C" w:rsidRDefault="007A1E5C" w:rsidP="001519E1">
      <w:pPr>
        <w:spacing w:line="360" w:lineRule="auto"/>
        <w:jc w:val="both"/>
      </w:pPr>
    </w:p>
    <w:p w14:paraId="5421B415" w14:textId="77777777" w:rsidR="001519E1" w:rsidRDefault="001519E1" w:rsidP="001519E1">
      <w:pPr>
        <w:spacing w:line="360" w:lineRule="auto"/>
        <w:jc w:val="both"/>
        <w:rPr>
          <w:rFonts w:ascii="Times New Roman" w:hAnsi="Times New Roman" w:cs="Times New Roman"/>
          <w:b/>
          <w:szCs w:val="24"/>
        </w:rPr>
      </w:pPr>
      <w:r>
        <w:rPr>
          <w:rFonts w:ascii="Times New Roman" w:hAnsi="Times New Roman" w:cs="Times New Roman"/>
          <w:b/>
          <w:szCs w:val="24"/>
        </w:rPr>
        <w:t>VI – International agreements</w:t>
      </w:r>
    </w:p>
    <w:p w14:paraId="2C066318" w14:textId="77777777" w:rsidR="001519E1" w:rsidRDefault="001519E1" w:rsidP="001519E1">
      <w:pPr>
        <w:spacing w:line="360" w:lineRule="auto"/>
        <w:jc w:val="both"/>
        <w:rPr>
          <w:rFonts w:ascii="Times New Roman" w:hAnsi="Times New Roman" w:cs="Times New Roman"/>
          <w:b/>
          <w:szCs w:val="24"/>
        </w:rPr>
      </w:pPr>
    </w:p>
    <w:p w14:paraId="05702CA5" w14:textId="78D65243" w:rsidR="001519E1" w:rsidRDefault="001519E1" w:rsidP="001519E1">
      <w:pPr>
        <w:spacing w:line="360" w:lineRule="auto"/>
        <w:jc w:val="both"/>
        <w:rPr>
          <w:rFonts w:ascii="Times New Roman" w:hAnsi="Times New Roman" w:cs="Times New Roman"/>
          <w:b/>
          <w:bCs/>
        </w:rPr>
      </w:pPr>
      <w:r>
        <w:rPr>
          <w:rFonts w:ascii="Times New Roman" w:hAnsi="Times New Roman" w:cs="Times New Roman"/>
          <w:b/>
          <w:bCs/>
        </w:rPr>
        <w:t>Switzerland</w:t>
      </w:r>
    </w:p>
    <w:p w14:paraId="3B6D5BEE" w14:textId="77777777" w:rsidR="001519E1" w:rsidRPr="000176A3" w:rsidRDefault="001519E1" w:rsidP="001519E1">
      <w:pPr>
        <w:spacing w:line="360" w:lineRule="auto"/>
        <w:jc w:val="both"/>
        <w:rPr>
          <w:rFonts w:ascii="Times New Roman" w:hAnsi="Times New Roman" w:cs="Times New Roman"/>
          <w:b/>
          <w:bCs/>
        </w:rPr>
      </w:pPr>
      <w:r>
        <w:rPr>
          <w:rFonts w:ascii="Times New Roman" w:hAnsi="Times New Roman" w:cs="Times New Roman"/>
          <w:b/>
          <w:bCs/>
        </w:rPr>
        <w:t>Establishment Convention between Switzerland and Iran (former Empire of Persia)</w:t>
      </w:r>
    </w:p>
    <w:p w14:paraId="6D6C96D2" w14:textId="77777777" w:rsidR="001519E1" w:rsidRPr="000176A3" w:rsidRDefault="001519E1" w:rsidP="001519E1">
      <w:pPr>
        <w:spacing w:line="360" w:lineRule="auto"/>
        <w:jc w:val="both"/>
        <w:rPr>
          <w:rFonts w:ascii="Times New Roman" w:hAnsi="Times New Roman" w:cs="Times New Roman"/>
        </w:rPr>
      </w:pPr>
      <w:r>
        <w:rPr>
          <w:rFonts w:ascii="Times New Roman" w:hAnsi="Times New Roman" w:cs="Times New Roman"/>
        </w:rPr>
        <w:t xml:space="preserve">On 19 December 2025, the Federal Council adopted the message and the draft federal decree approving the amending protocol to the establishment convention concluded between Switzerland and Iran in 1934. This old convention provides that Iranian law applies to Iranian nationals residing in Switzerland in the areas falling under the law of persons, family law and succession law. The application of Iranian law regularly poses problems because certain provisions are not compatible with the principles of Swiss law. </w:t>
      </w:r>
    </w:p>
    <w:p w14:paraId="79E2DC90" w14:textId="77777777" w:rsidR="001519E1" w:rsidRPr="000176A3" w:rsidRDefault="001519E1" w:rsidP="001519E1">
      <w:pPr>
        <w:spacing w:line="360" w:lineRule="auto"/>
        <w:jc w:val="both"/>
        <w:rPr>
          <w:rFonts w:ascii="Times New Roman" w:hAnsi="Times New Roman" w:cs="Times New Roman"/>
        </w:rPr>
      </w:pPr>
      <w:r>
        <w:rPr>
          <w:rFonts w:ascii="Times New Roman" w:hAnsi="Times New Roman" w:cs="Times New Roman"/>
        </w:rPr>
        <w:t>Moreover, Iranian law is difficult for Swiss courts to access, and they must often request expert opinions, which makes proceedings more expensive and slower. It is now proposed that Swiss law apply to Iranian men and women living in Switzerland in the areas falling under the law of persons, family law and succession law (</w:t>
      </w:r>
      <w:hyperlink r:id="rId50" w:history="1">
        <w:r>
          <w:rPr>
            <w:rStyle w:val="Lienhypertexte"/>
            <w:rFonts w:ascii="Times New Roman" w:hAnsi="Times New Roman" w:cs="Times New Roman"/>
          </w:rPr>
          <w:t>Swiss law will also apply to Iranians in Switzerland</w:t>
        </w:r>
      </w:hyperlink>
      <w:r>
        <w:rPr>
          <w:rFonts w:ascii="Times New Roman" w:hAnsi="Times New Roman" w:cs="Times New Roman"/>
        </w:rPr>
        <w:t>).</w:t>
      </w:r>
    </w:p>
    <w:p w14:paraId="0F347E45" w14:textId="27639837" w:rsidR="001519E1" w:rsidRDefault="001519E1" w:rsidP="001519E1">
      <w:pPr>
        <w:spacing w:line="360" w:lineRule="auto"/>
        <w:jc w:val="both"/>
        <w:rPr>
          <w:rFonts w:ascii="Times New Roman" w:hAnsi="Times New Roman" w:cs="Times New Roman"/>
        </w:rPr>
      </w:pPr>
    </w:p>
    <w:p w14:paraId="32D34182" w14:textId="77777777" w:rsidR="00A24DD5" w:rsidRPr="000176A3" w:rsidRDefault="00A24DD5" w:rsidP="001519E1">
      <w:pPr>
        <w:spacing w:line="360" w:lineRule="auto"/>
        <w:jc w:val="both"/>
        <w:rPr>
          <w:rFonts w:ascii="Times New Roman" w:hAnsi="Times New Roman" w:cs="Times New Roman"/>
        </w:rPr>
      </w:pPr>
    </w:p>
    <w:p w14:paraId="6BDCDD94" w14:textId="77777777" w:rsidR="001519E1" w:rsidRPr="000176A3" w:rsidRDefault="001519E1" w:rsidP="001519E1">
      <w:pPr>
        <w:spacing w:line="360" w:lineRule="auto"/>
        <w:jc w:val="both"/>
        <w:rPr>
          <w:rFonts w:ascii="Times New Roman" w:hAnsi="Times New Roman" w:cs="Times New Roman"/>
          <w:b/>
          <w:bCs/>
        </w:rPr>
      </w:pPr>
      <w:r>
        <w:rPr>
          <w:rFonts w:ascii="Times New Roman" w:hAnsi="Times New Roman" w:cs="Times New Roman"/>
          <w:b/>
          <w:bCs/>
        </w:rPr>
        <w:t xml:space="preserve">Bilateral agreement with the Principality of Liechtenstein </w:t>
      </w:r>
    </w:p>
    <w:p w14:paraId="132D5FAB" w14:textId="77777777" w:rsidR="001519E1" w:rsidRPr="000176A3" w:rsidRDefault="001519E1" w:rsidP="001519E1">
      <w:pPr>
        <w:spacing w:line="360" w:lineRule="auto"/>
        <w:jc w:val="both"/>
        <w:rPr>
          <w:rFonts w:ascii="Times New Roman" w:hAnsi="Times New Roman" w:cs="Times New Roman"/>
        </w:rPr>
      </w:pPr>
      <w:r>
        <w:rPr>
          <w:rFonts w:ascii="Times New Roman" w:hAnsi="Times New Roman" w:cs="Times New Roman"/>
        </w:rPr>
        <w:t xml:space="preserve">Pursuant to Article 84 paragraph 5 of the </w:t>
      </w:r>
      <w:hyperlink r:id="rId51" w:history="1">
        <w:r>
          <w:rPr>
            <w:rStyle w:val="Lienhypertexte"/>
            <w:rFonts w:ascii="Times New Roman" w:hAnsi="Times New Roman" w:cs="Times New Roman"/>
          </w:rPr>
          <w:t>Civil Status Ordinance (OEC)</w:t>
        </w:r>
      </w:hyperlink>
      <w:r>
        <w:rPr>
          <w:rFonts w:ascii="Times New Roman" w:hAnsi="Times New Roman" w:cs="Times New Roman"/>
        </w:rPr>
        <w:t xml:space="preserve">, the Federal Office of Civil Status is authorised to conclude international treaties in the field of the exchange and obtaining of civil status data. A draft bilateral agreement with the Principality of Liechtenstein is being prepared; it is to replace the existing agreement of 1978. </w:t>
      </w:r>
    </w:p>
    <w:p w14:paraId="4EBBE1FC" w14:textId="77777777" w:rsidR="001519E1" w:rsidRDefault="001519E1" w:rsidP="001519E1">
      <w:pPr>
        <w:spacing w:line="360" w:lineRule="auto"/>
        <w:jc w:val="both"/>
      </w:pPr>
    </w:p>
    <w:p w14:paraId="18D96999" w14:textId="77777777" w:rsidR="001519E1" w:rsidRPr="00A923F1" w:rsidRDefault="001519E1" w:rsidP="001519E1">
      <w:pPr>
        <w:spacing w:line="360" w:lineRule="auto"/>
        <w:jc w:val="both"/>
        <w:rPr>
          <w:rFonts w:ascii="Times New Roman" w:hAnsi="Times New Roman" w:cs="Times New Roman"/>
          <w:szCs w:val="24"/>
        </w:rPr>
      </w:pPr>
    </w:p>
    <w:p w14:paraId="7E201C77" w14:textId="77777777" w:rsidR="00C56ED7" w:rsidRPr="00C56ED7" w:rsidRDefault="00C56ED7" w:rsidP="00C56ED7"/>
    <w:sectPr w:rsidR="00C56ED7" w:rsidRPr="00C56ED7">
      <w:footerReference w:type="default" r:id="rId5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52BC5" w14:textId="77777777" w:rsidR="00FE57E2" w:rsidRDefault="00FE57E2" w:rsidP="001519E1">
      <w:pPr>
        <w:spacing w:before="0" w:after="0" w:line="240" w:lineRule="auto"/>
      </w:pPr>
      <w:r>
        <w:separator/>
      </w:r>
    </w:p>
  </w:endnote>
  <w:endnote w:type="continuationSeparator" w:id="0">
    <w:p w14:paraId="280199B0" w14:textId="77777777" w:rsidR="00FE57E2" w:rsidRDefault="00FE57E2" w:rsidP="001519E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nistra Symbol">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8230308"/>
      <w:docPartObj>
        <w:docPartGallery w:val="Page Numbers (Bottom of Page)"/>
        <w:docPartUnique/>
      </w:docPartObj>
    </w:sdtPr>
    <w:sdtContent>
      <w:p w14:paraId="648FB66D" w14:textId="77777777" w:rsidR="00000000" w:rsidRDefault="007A1E5C">
        <w:pPr>
          <w:pStyle w:val="Pieddepage"/>
          <w:jc w:val="center"/>
        </w:pPr>
        <w:r>
          <w:fldChar w:fldCharType="begin"/>
        </w:r>
        <w:r>
          <w:instrText>PAGE   \* MERGEFORMAT</w:instrText>
        </w:r>
        <w:r>
          <w:fldChar w:fldCharType="separate"/>
        </w:r>
        <w:r>
          <w:t>2</w:t>
        </w:r>
        <w:r>
          <w:fldChar w:fldCharType="end"/>
        </w:r>
      </w:p>
    </w:sdtContent>
  </w:sdt>
  <w:p w14:paraId="785664A9" w14:textId="77777777" w:rsidR="00000000" w:rsidRDefault="0000000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FF096" w14:textId="77777777" w:rsidR="00FE57E2" w:rsidRDefault="00FE57E2" w:rsidP="001519E1">
      <w:pPr>
        <w:spacing w:before="0" w:after="0" w:line="240" w:lineRule="auto"/>
      </w:pPr>
      <w:r>
        <w:separator/>
      </w:r>
    </w:p>
  </w:footnote>
  <w:footnote w:type="continuationSeparator" w:id="0">
    <w:p w14:paraId="3C6FE0DF" w14:textId="77777777" w:rsidR="00FE57E2" w:rsidRDefault="00FE57E2" w:rsidP="001519E1">
      <w:pPr>
        <w:spacing w:before="0" w:after="0" w:line="240" w:lineRule="auto"/>
      </w:pPr>
      <w:r>
        <w:continuationSeparator/>
      </w:r>
    </w:p>
  </w:footnote>
  <w:footnote w:id="1">
    <w:p w14:paraId="67B4DF62" w14:textId="77777777" w:rsidR="001519E1" w:rsidRPr="002F6B74" w:rsidRDefault="001519E1" w:rsidP="001519E1">
      <w:pPr>
        <w:pStyle w:val="Notedebasdepage"/>
      </w:pPr>
      <w:r w:rsidRPr="002F6B74">
        <w:rPr>
          <w:rStyle w:val="Appelnotedebasdep"/>
        </w:rPr>
        <w:footnoteRef/>
      </w:r>
      <w:r w:rsidRPr="002F6B74">
        <w:t xml:space="preserve"> </w:t>
      </w:r>
      <w:hyperlink r:id="rId1" w:history="1">
        <w:r w:rsidRPr="002F6B74">
          <w:rPr>
            <w:rStyle w:val="Lienhypertexte"/>
            <w:rFonts w:ascii="Times New Roman" w:hAnsi="Times New Roman" w:cs="Times New Roman"/>
            <w:szCs w:val="24"/>
          </w:rPr>
          <w:t>https://www.ejustice.just.fgov.be/eli/decreet/2025/07/14/2025006149/staatsblad</w:t>
        </w:r>
      </w:hyperlink>
    </w:p>
  </w:footnote>
  <w:footnote w:id="2">
    <w:p w14:paraId="20EA9369" w14:textId="77777777" w:rsidR="001519E1" w:rsidRDefault="001519E1" w:rsidP="001519E1">
      <w:pPr>
        <w:pStyle w:val="Notedebasdepage"/>
      </w:pPr>
      <w:r>
        <w:rPr>
          <w:rStyle w:val="Appelnotedebasdep"/>
        </w:rPr>
        <w:footnoteRef/>
      </w:r>
      <w:r w:rsidRPr="00132DAD">
        <w:t xml:space="preserve"> </w:t>
      </w:r>
      <w:hyperlink r:id="rId2" w:history="1">
        <w:r>
          <w:rPr>
            <w:rStyle w:val="Lienhypertexte"/>
            <w:rFonts w:ascii="Times New Roman" w:hAnsi="Times New Roman" w:cs="Times New Roman"/>
            <w:szCs w:val="24"/>
          </w:rPr>
          <w:t xml:space="preserve">Nos. 24-50.028 </w:t>
        </w:r>
      </w:hyperlink>
      <w:r>
        <w:rPr>
          <w:rFonts w:ascii="Times New Roman" w:hAnsi="Times New Roman" w:cs="Times New Roman"/>
          <w:szCs w:val="24"/>
        </w:rPr>
        <w:t xml:space="preserve">and </w:t>
      </w:r>
      <w:hyperlink r:id="rId3" w:history="1">
        <w:r>
          <w:rPr>
            <w:rStyle w:val="Lienhypertexte"/>
            <w:rFonts w:ascii="Times New Roman" w:hAnsi="Times New Roman" w:cs="Times New Roman"/>
            <w:szCs w:val="24"/>
          </w:rPr>
          <w:t>24-50.029</w:t>
        </w:r>
      </w:hyperlink>
      <w:r>
        <w:rPr>
          <w:rFonts w:ascii="Times New Roman" w:hAnsi="Times New Roman" w:cs="Times New Roman"/>
          <w:szCs w:val="24"/>
        </w:rPr>
        <w:t xml:space="preserve"> </w:t>
      </w:r>
    </w:p>
  </w:footnote>
  <w:footnote w:id="3">
    <w:p w14:paraId="6225F0B2" w14:textId="77777777" w:rsidR="001519E1" w:rsidRDefault="001519E1" w:rsidP="001519E1">
      <w:pPr>
        <w:pStyle w:val="Notedebasdepage"/>
      </w:pPr>
      <w:r>
        <w:rPr>
          <w:rStyle w:val="Appelnotedebasdep"/>
        </w:rPr>
        <w:footnoteRef/>
      </w:r>
      <w:r>
        <w:t xml:space="preserve"> </w:t>
      </w:r>
      <w:r w:rsidRPr="005A556B">
        <w:rPr>
          <w:rFonts w:ascii="Times New Roman" w:hAnsi="Times New Roman" w:cs="Times New Roman"/>
          <w:bCs/>
          <w:szCs w:val="24"/>
        </w:rPr>
        <w:t>No. 38162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6A3CD688"/>
    <w:lvl w:ilvl="0">
      <w:start w:val="1"/>
      <w:numFmt w:val="lowerLetter"/>
      <w:pStyle w:val="Listenumros2"/>
      <w:lvlText w:val="%1)"/>
      <w:lvlJc w:val="left"/>
      <w:pPr>
        <w:ind w:left="643" w:hanging="360"/>
      </w:pPr>
    </w:lvl>
  </w:abstractNum>
  <w:abstractNum w:abstractNumId="1" w15:restartNumberingAfterBreak="0">
    <w:nsid w:val="FFFFFF82"/>
    <w:multiLevelType w:val="singleLevel"/>
    <w:tmpl w:val="3334B260"/>
    <w:lvl w:ilvl="0">
      <w:start w:val="1"/>
      <w:numFmt w:val="bullet"/>
      <w:pStyle w:val="Listepuces3"/>
      <w:lvlText w:val="o"/>
      <w:lvlJc w:val="left"/>
      <w:pPr>
        <w:ind w:left="926" w:hanging="360"/>
      </w:pPr>
      <w:rPr>
        <w:rFonts w:ascii="Courier New" w:hAnsi="Courier New" w:cs="Courier New" w:hint="default"/>
      </w:rPr>
    </w:lvl>
  </w:abstractNum>
  <w:abstractNum w:abstractNumId="2" w15:restartNumberingAfterBreak="0">
    <w:nsid w:val="FFFFFF83"/>
    <w:multiLevelType w:val="singleLevel"/>
    <w:tmpl w:val="162AA5A2"/>
    <w:lvl w:ilvl="0">
      <w:start w:val="1"/>
      <w:numFmt w:val="bullet"/>
      <w:pStyle w:val="Listepuces2"/>
      <w:lvlText w:val=""/>
      <w:lvlJc w:val="left"/>
      <w:pPr>
        <w:ind w:left="643" w:hanging="360"/>
      </w:pPr>
      <w:rPr>
        <w:rFonts w:ascii="Symbol" w:hAnsi="Symbol" w:hint="default"/>
      </w:rPr>
    </w:lvl>
  </w:abstractNum>
  <w:abstractNum w:abstractNumId="3" w15:restartNumberingAfterBreak="0">
    <w:nsid w:val="FFFFFF88"/>
    <w:multiLevelType w:val="singleLevel"/>
    <w:tmpl w:val="F8126800"/>
    <w:lvl w:ilvl="0">
      <w:start w:val="1"/>
      <w:numFmt w:val="decimal"/>
      <w:pStyle w:val="Listenumros"/>
      <w:lvlText w:val="%1."/>
      <w:lvlJc w:val="left"/>
      <w:pPr>
        <w:tabs>
          <w:tab w:val="num" w:pos="360"/>
        </w:tabs>
        <w:ind w:left="360" w:hanging="360"/>
      </w:pPr>
    </w:lvl>
  </w:abstractNum>
  <w:abstractNum w:abstractNumId="4" w15:restartNumberingAfterBreak="0">
    <w:nsid w:val="FFFFFF89"/>
    <w:multiLevelType w:val="singleLevel"/>
    <w:tmpl w:val="A53EE5D0"/>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BF63F0"/>
    <w:multiLevelType w:val="hybridMultilevel"/>
    <w:tmpl w:val="7408EE94"/>
    <w:lvl w:ilvl="0" w:tplc="040C0011">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15:restartNumberingAfterBreak="0">
    <w:nsid w:val="139A377F"/>
    <w:multiLevelType w:val="hybridMultilevel"/>
    <w:tmpl w:val="E4A412AE"/>
    <w:lvl w:ilvl="0" w:tplc="2EC8F2E4">
      <w:start w:val="1"/>
      <w:numFmt w:val="decimal"/>
      <w:lvlText w:val="%1."/>
      <w:lvlJc w:val="left"/>
      <w:pPr>
        <w:ind w:left="360" w:hanging="360"/>
      </w:pPr>
      <w:rPr>
        <w:rFonts w:hint="default"/>
        <w:b/>
        <w:bCs w:val="0"/>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 w15:restartNumberingAfterBreak="0">
    <w:nsid w:val="17B35D1E"/>
    <w:multiLevelType w:val="hybridMultilevel"/>
    <w:tmpl w:val="4FB2D3FC"/>
    <w:lvl w:ilvl="0" w:tplc="1EEC9CE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9F33A84"/>
    <w:multiLevelType w:val="hybridMultilevel"/>
    <w:tmpl w:val="FAAC459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E1B2D5D"/>
    <w:multiLevelType w:val="hybridMultilevel"/>
    <w:tmpl w:val="77B0F77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79E228E"/>
    <w:multiLevelType w:val="hybridMultilevel"/>
    <w:tmpl w:val="CFA22FF8"/>
    <w:lvl w:ilvl="0" w:tplc="A80ED4F4">
      <w:start w:val="1"/>
      <w:numFmt w:val="bullet"/>
      <w:pStyle w:val="Listepuces"/>
      <w:lvlText w:val=""/>
      <w:lvlJc w:val="left"/>
      <w:pPr>
        <w:tabs>
          <w:tab w:val="num" w:pos="360"/>
        </w:tabs>
        <w:ind w:left="36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0492753"/>
    <w:multiLevelType w:val="hybridMultilevel"/>
    <w:tmpl w:val="2034DF58"/>
    <w:lvl w:ilvl="0" w:tplc="B76ACBCE">
      <w:start w:val="1"/>
      <w:numFmt w:val="decimal"/>
      <w:lvlText w:val="%1)"/>
      <w:lvlJc w:val="left"/>
      <w:pPr>
        <w:ind w:left="720" w:hanging="360"/>
      </w:pPr>
      <w:rPr>
        <w:rFonts w:asciiTheme="minorHAnsi" w:hAnsiTheme="minorHAns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06547EB"/>
    <w:multiLevelType w:val="hybridMultilevel"/>
    <w:tmpl w:val="0452401E"/>
    <w:lvl w:ilvl="0" w:tplc="31807138">
      <w:start w:val="1"/>
      <w:numFmt w:val="decimal"/>
      <w:lvlText w:val="%1)"/>
      <w:lvlJc w:val="left"/>
      <w:pPr>
        <w:ind w:left="1068" w:hanging="360"/>
      </w:pPr>
      <w:rPr>
        <w:rFonts w:hint="default"/>
        <w:color w:val="0563C1" w:themeColor="hyperlink"/>
        <w:u w:val="single"/>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3" w15:restartNumberingAfterBreak="0">
    <w:nsid w:val="454B2320"/>
    <w:multiLevelType w:val="hybridMultilevel"/>
    <w:tmpl w:val="0C069EDE"/>
    <w:lvl w:ilvl="0" w:tplc="98F690D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65D1B03"/>
    <w:multiLevelType w:val="multilevel"/>
    <w:tmpl w:val="D2C2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9969DF"/>
    <w:multiLevelType w:val="hybridMultilevel"/>
    <w:tmpl w:val="0E60E006"/>
    <w:lvl w:ilvl="0" w:tplc="040C0017">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6" w15:restartNumberingAfterBreak="0">
    <w:nsid w:val="6429522D"/>
    <w:multiLevelType w:val="multilevel"/>
    <w:tmpl w:val="78FE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F42880"/>
    <w:multiLevelType w:val="hybridMultilevel"/>
    <w:tmpl w:val="4CD2972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6470EC3"/>
    <w:multiLevelType w:val="hybridMultilevel"/>
    <w:tmpl w:val="8AEC204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7D0F05E9"/>
    <w:multiLevelType w:val="hybridMultilevel"/>
    <w:tmpl w:val="EBB4EFA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E95723B"/>
    <w:multiLevelType w:val="hybridMultilevel"/>
    <w:tmpl w:val="83B2CD1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898011029">
    <w:abstractNumId w:val="3"/>
  </w:num>
  <w:num w:numId="2" w16cid:durableId="2012444774">
    <w:abstractNumId w:val="0"/>
  </w:num>
  <w:num w:numId="3" w16cid:durableId="1741950911">
    <w:abstractNumId w:val="4"/>
  </w:num>
  <w:num w:numId="4" w16cid:durableId="518784644">
    <w:abstractNumId w:val="2"/>
  </w:num>
  <w:num w:numId="5" w16cid:durableId="2089571730">
    <w:abstractNumId w:val="1"/>
  </w:num>
  <w:num w:numId="6" w16cid:durableId="1413546043">
    <w:abstractNumId w:val="4"/>
  </w:num>
  <w:num w:numId="7" w16cid:durableId="1298223235">
    <w:abstractNumId w:val="10"/>
  </w:num>
  <w:num w:numId="8" w16cid:durableId="193619277">
    <w:abstractNumId w:val="6"/>
  </w:num>
  <w:num w:numId="9" w16cid:durableId="280192961">
    <w:abstractNumId w:val="15"/>
  </w:num>
  <w:num w:numId="10" w16cid:durableId="207886979">
    <w:abstractNumId w:val="18"/>
  </w:num>
  <w:num w:numId="11" w16cid:durableId="183713985">
    <w:abstractNumId w:val="17"/>
  </w:num>
  <w:num w:numId="12" w16cid:durableId="561916365">
    <w:abstractNumId w:val="19"/>
  </w:num>
  <w:num w:numId="13" w16cid:durableId="1432507546">
    <w:abstractNumId w:val="9"/>
  </w:num>
  <w:num w:numId="14" w16cid:durableId="1648436179">
    <w:abstractNumId w:val="7"/>
  </w:num>
  <w:num w:numId="15" w16cid:durableId="1489516192">
    <w:abstractNumId w:val="20"/>
  </w:num>
  <w:num w:numId="16" w16cid:durableId="136530815">
    <w:abstractNumId w:val="13"/>
  </w:num>
  <w:num w:numId="17" w16cid:durableId="816192981">
    <w:abstractNumId w:val="8"/>
  </w:num>
  <w:num w:numId="18" w16cid:durableId="589897265">
    <w:abstractNumId w:val="14"/>
  </w:num>
  <w:num w:numId="19" w16cid:durableId="109714240">
    <w:abstractNumId w:val="16"/>
  </w:num>
  <w:num w:numId="20" w16cid:durableId="139274214">
    <w:abstractNumId w:val="12"/>
  </w:num>
  <w:num w:numId="21" w16cid:durableId="1191719977">
    <w:abstractNumId w:val="11"/>
  </w:num>
  <w:num w:numId="22" w16cid:durableId="11546368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9E1"/>
    <w:rsid w:val="00011564"/>
    <w:rsid w:val="00057808"/>
    <w:rsid w:val="00060075"/>
    <w:rsid w:val="0008565E"/>
    <w:rsid w:val="000C0BA2"/>
    <w:rsid w:val="000C0C16"/>
    <w:rsid w:val="00102E35"/>
    <w:rsid w:val="001374D1"/>
    <w:rsid w:val="001519E1"/>
    <w:rsid w:val="001855D5"/>
    <w:rsid w:val="001C6DD5"/>
    <w:rsid w:val="001D5C8A"/>
    <w:rsid w:val="00216AF9"/>
    <w:rsid w:val="0025142F"/>
    <w:rsid w:val="00300CFE"/>
    <w:rsid w:val="00337B06"/>
    <w:rsid w:val="003633DF"/>
    <w:rsid w:val="003926E5"/>
    <w:rsid w:val="0039272C"/>
    <w:rsid w:val="003C7C2D"/>
    <w:rsid w:val="003F357F"/>
    <w:rsid w:val="00451209"/>
    <w:rsid w:val="0047235B"/>
    <w:rsid w:val="0049030D"/>
    <w:rsid w:val="004C067B"/>
    <w:rsid w:val="00525C05"/>
    <w:rsid w:val="00541532"/>
    <w:rsid w:val="00555A76"/>
    <w:rsid w:val="005C3894"/>
    <w:rsid w:val="005C793F"/>
    <w:rsid w:val="005D7BFF"/>
    <w:rsid w:val="005F26C5"/>
    <w:rsid w:val="00680545"/>
    <w:rsid w:val="006C4DA4"/>
    <w:rsid w:val="00783A25"/>
    <w:rsid w:val="007925B8"/>
    <w:rsid w:val="007A1E5C"/>
    <w:rsid w:val="007C4BCB"/>
    <w:rsid w:val="007F10DD"/>
    <w:rsid w:val="008114DF"/>
    <w:rsid w:val="0081471A"/>
    <w:rsid w:val="008768C4"/>
    <w:rsid w:val="00880941"/>
    <w:rsid w:val="008B0F3A"/>
    <w:rsid w:val="008E164A"/>
    <w:rsid w:val="009715C1"/>
    <w:rsid w:val="009F2B05"/>
    <w:rsid w:val="00A178A1"/>
    <w:rsid w:val="00A24DD5"/>
    <w:rsid w:val="00A30047"/>
    <w:rsid w:val="00A51AD1"/>
    <w:rsid w:val="00A574C7"/>
    <w:rsid w:val="00A74883"/>
    <w:rsid w:val="00AB42C8"/>
    <w:rsid w:val="00B35EB7"/>
    <w:rsid w:val="00BC6600"/>
    <w:rsid w:val="00BE00E1"/>
    <w:rsid w:val="00C56ED7"/>
    <w:rsid w:val="00C75451"/>
    <w:rsid w:val="00CA6908"/>
    <w:rsid w:val="00CE09DA"/>
    <w:rsid w:val="00D111AA"/>
    <w:rsid w:val="00D252A0"/>
    <w:rsid w:val="00D37D1A"/>
    <w:rsid w:val="00D40A91"/>
    <w:rsid w:val="00D45599"/>
    <w:rsid w:val="00D65661"/>
    <w:rsid w:val="00D742FA"/>
    <w:rsid w:val="00D772D0"/>
    <w:rsid w:val="00D93A11"/>
    <w:rsid w:val="00DB10AA"/>
    <w:rsid w:val="00DB212E"/>
    <w:rsid w:val="00DB7289"/>
    <w:rsid w:val="00DD105D"/>
    <w:rsid w:val="00E01911"/>
    <w:rsid w:val="00E17B8B"/>
    <w:rsid w:val="00EF262C"/>
    <w:rsid w:val="00F56A7D"/>
    <w:rsid w:val="00F703CA"/>
    <w:rsid w:val="00FA113B"/>
    <w:rsid w:val="00FE3730"/>
    <w:rsid w:val="00FE4535"/>
    <w:rsid w:val="00FE57E2"/>
    <w:rsid w:val="00FE611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8527E"/>
  <w15:chartTrackingRefBased/>
  <w15:docId w15:val="{08BBEFCA-93D0-48F7-AFF4-FA25866E8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9E1"/>
    <w:pPr>
      <w:spacing w:before="60" w:after="60"/>
    </w:pPr>
    <w:rPr>
      <w:kern w:val="16"/>
      <w:sz w:val="24"/>
      <w14:ligatures w14:val="standardContextual"/>
      <w14:numForm w14:val="lining"/>
      <w14:numSpacing w14:val="tabular"/>
    </w:rPr>
  </w:style>
  <w:style w:type="paragraph" w:styleId="Titre1">
    <w:name w:val="heading 1"/>
    <w:basedOn w:val="Normal"/>
    <w:next w:val="Normal"/>
    <w:link w:val="Titre1Car"/>
    <w:uiPriority w:val="9"/>
    <w:qFormat/>
    <w:rsid w:val="007C4BCB"/>
    <w:pPr>
      <w:keepNext/>
      <w:spacing w:before="240" w:after="0"/>
      <w:outlineLvl w:val="0"/>
    </w:pPr>
    <w:rPr>
      <w:rFonts w:asciiTheme="majorHAnsi" w:eastAsiaTheme="majorEastAsia" w:hAnsiTheme="majorHAnsi" w:cstheme="majorBidi"/>
      <w:sz w:val="32"/>
      <w:szCs w:val="32"/>
    </w:rPr>
  </w:style>
  <w:style w:type="paragraph" w:styleId="Titre2">
    <w:name w:val="heading 2"/>
    <w:basedOn w:val="Normal"/>
    <w:next w:val="Normal"/>
    <w:link w:val="Titre2Car"/>
    <w:uiPriority w:val="9"/>
    <w:unhideWhenUsed/>
    <w:qFormat/>
    <w:rsid w:val="007C4BCB"/>
    <w:pPr>
      <w:keepNext/>
      <w:spacing w:before="40" w:after="0"/>
      <w:outlineLvl w:val="1"/>
    </w:pPr>
    <w:rPr>
      <w:rFonts w:asciiTheme="majorHAnsi" w:eastAsiaTheme="majorEastAsia" w:hAnsiTheme="majorHAnsi" w:cstheme="majorBidi"/>
      <w:sz w:val="26"/>
      <w:szCs w:val="26"/>
    </w:rPr>
  </w:style>
  <w:style w:type="paragraph" w:styleId="Titre3">
    <w:name w:val="heading 3"/>
    <w:basedOn w:val="Normal"/>
    <w:next w:val="Normal"/>
    <w:link w:val="Titre3Car"/>
    <w:uiPriority w:val="9"/>
    <w:unhideWhenUsed/>
    <w:qFormat/>
    <w:rsid w:val="007C4BCB"/>
    <w:pPr>
      <w:keepNext/>
      <w:spacing w:before="100" w:after="0"/>
      <w:outlineLvl w:val="2"/>
    </w:pPr>
    <w:rPr>
      <w:rFonts w:asciiTheme="majorHAnsi" w:eastAsiaTheme="majorEastAsia" w:hAnsiTheme="majorHAnsi" w:cstheme="majorBidi"/>
      <w:szCs w:val="24"/>
    </w:rPr>
  </w:style>
  <w:style w:type="paragraph" w:styleId="Titre4">
    <w:name w:val="heading 4"/>
    <w:basedOn w:val="Normal"/>
    <w:next w:val="Normal"/>
    <w:link w:val="Titre4Car"/>
    <w:uiPriority w:val="9"/>
    <w:semiHidden/>
    <w:rsid w:val="007C4BCB"/>
    <w:pPr>
      <w:keepNext/>
      <w:spacing w:before="100" w:after="0"/>
      <w:outlineLvl w:val="3"/>
    </w:pPr>
    <w:rPr>
      <w:rFonts w:asciiTheme="majorHAnsi" w:eastAsiaTheme="majorEastAsia" w:hAnsiTheme="majorHAnsi" w:cstheme="majorBidi"/>
      <w:i/>
      <w:iCs/>
    </w:rPr>
  </w:style>
  <w:style w:type="paragraph" w:styleId="Titre5">
    <w:name w:val="heading 5"/>
    <w:basedOn w:val="Titre4"/>
    <w:next w:val="Normal"/>
    <w:link w:val="Titre5Car"/>
    <w:uiPriority w:val="9"/>
    <w:semiHidden/>
    <w:rsid w:val="007C4BCB"/>
    <w:pPr>
      <w:spacing w:before="40"/>
      <w:outlineLvl w:val="4"/>
    </w:pPr>
    <w:rPr>
      <w:i w:val="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puces">
    <w:name w:val="List Bullet"/>
    <w:basedOn w:val="Normal"/>
    <w:uiPriority w:val="99"/>
    <w:rsid w:val="00011564"/>
    <w:pPr>
      <w:numPr>
        <w:numId w:val="7"/>
      </w:numPr>
      <w:tabs>
        <w:tab w:val="clear" w:pos="360"/>
      </w:tabs>
      <w:ind w:left="0"/>
    </w:pPr>
  </w:style>
  <w:style w:type="paragraph" w:styleId="Listepuces2">
    <w:name w:val="List Bullet 2"/>
    <w:basedOn w:val="Normal"/>
    <w:uiPriority w:val="99"/>
    <w:rsid w:val="00011564"/>
    <w:pPr>
      <w:numPr>
        <w:numId w:val="4"/>
      </w:numPr>
      <w:ind w:left="0" w:hanging="284"/>
      <w:contextualSpacing/>
    </w:pPr>
  </w:style>
  <w:style w:type="character" w:customStyle="1" w:styleId="Titre1Car">
    <w:name w:val="Titre 1 Car"/>
    <w:basedOn w:val="Policepardfaut"/>
    <w:link w:val="Titre1"/>
    <w:uiPriority w:val="9"/>
    <w:rsid w:val="007C4BCB"/>
    <w:rPr>
      <w:rFonts w:asciiTheme="majorHAnsi" w:eastAsiaTheme="majorEastAsia" w:hAnsiTheme="majorHAnsi" w:cstheme="majorBidi"/>
      <w:kern w:val="16"/>
      <w:sz w:val="32"/>
      <w:szCs w:val="32"/>
      <w14:ligatures w14:val="standardContextual"/>
      <w14:numForm w14:val="lining"/>
      <w14:numSpacing w14:val="tabular"/>
    </w:rPr>
  </w:style>
  <w:style w:type="character" w:customStyle="1" w:styleId="Titre2Car">
    <w:name w:val="Titre 2 Car"/>
    <w:basedOn w:val="Policepardfaut"/>
    <w:link w:val="Titre2"/>
    <w:uiPriority w:val="9"/>
    <w:rsid w:val="007C4BCB"/>
    <w:rPr>
      <w:rFonts w:asciiTheme="majorHAnsi" w:eastAsiaTheme="majorEastAsia" w:hAnsiTheme="majorHAnsi" w:cstheme="majorBidi"/>
      <w:kern w:val="16"/>
      <w:sz w:val="26"/>
      <w:szCs w:val="26"/>
      <w14:ligatures w14:val="standardContextual"/>
      <w14:numForm w14:val="lining"/>
      <w14:numSpacing w14:val="tabular"/>
    </w:rPr>
  </w:style>
  <w:style w:type="character" w:customStyle="1" w:styleId="Titre3Car">
    <w:name w:val="Titre 3 Car"/>
    <w:basedOn w:val="Policepardfaut"/>
    <w:link w:val="Titre3"/>
    <w:uiPriority w:val="9"/>
    <w:rsid w:val="007C4BCB"/>
    <w:rPr>
      <w:rFonts w:asciiTheme="majorHAnsi" w:eastAsiaTheme="majorEastAsia" w:hAnsiTheme="majorHAnsi" w:cstheme="majorBidi"/>
      <w:kern w:val="16"/>
      <w:sz w:val="24"/>
      <w:szCs w:val="24"/>
      <w14:ligatures w14:val="standardContextual"/>
      <w14:numForm w14:val="lining"/>
      <w14:numSpacing w14:val="tabular"/>
    </w:rPr>
  </w:style>
  <w:style w:type="character" w:customStyle="1" w:styleId="Titre4Car">
    <w:name w:val="Titre 4 Car"/>
    <w:basedOn w:val="Policepardfaut"/>
    <w:link w:val="Titre4"/>
    <w:uiPriority w:val="9"/>
    <w:semiHidden/>
    <w:rsid w:val="007C4BCB"/>
    <w:rPr>
      <w:rFonts w:asciiTheme="majorHAnsi" w:eastAsiaTheme="majorEastAsia" w:hAnsiTheme="majorHAnsi" w:cstheme="majorBidi"/>
      <w:i/>
      <w:iCs/>
      <w:kern w:val="16"/>
      <w:sz w:val="24"/>
      <w14:ligatures w14:val="standardContextual"/>
      <w14:numForm w14:val="lining"/>
      <w14:numSpacing w14:val="tabular"/>
    </w:rPr>
  </w:style>
  <w:style w:type="character" w:customStyle="1" w:styleId="Titre5Car">
    <w:name w:val="Titre 5 Car"/>
    <w:basedOn w:val="Policepardfaut"/>
    <w:link w:val="Titre5"/>
    <w:uiPriority w:val="9"/>
    <w:semiHidden/>
    <w:rsid w:val="007C4BCB"/>
    <w:rPr>
      <w:rFonts w:asciiTheme="majorHAnsi" w:eastAsiaTheme="majorEastAsia" w:hAnsiTheme="majorHAnsi" w:cstheme="majorBidi"/>
      <w:iCs/>
      <w:kern w:val="16"/>
      <w:sz w:val="24"/>
      <w14:ligatures w14:val="standardContextual"/>
      <w14:numForm w14:val="lining"/>
      <w14:numSpacing w14:val="tabular"/>
    </w:rPr>
  </w:style>
  <w:style w:type="character" w:customStyle="1" w:styleId="Unistrasymbol">
    <w:name w:val="Unistra_symbol"/>
    <w:uiPriority w:val="1"/>
    <w:qFormat/>
    <w:rsid w:val="0047235B"/>
    <w:rPr>
      <w:rFonts w:ascii="Unistra Symbol" w:hAnsi="Unistra Symbol"/>
    </w:rPr>
  </w:style>
  <w:style w:type="paragraph" w:styleId="Listepuces3">
    <w:name w:val="List Bullet 3"/>
    <w:basedOn w:val="Normal"/>
    <w:uiPriority w:val="99"/>
    <w:rsid w:val="00011564"/>
    <w:pPr>
      <w:numPr>
        <w:numId w:val="5"/>
      </w:numPr>
      <w:ind w:left="0" w:hanging="285"/>
      <w:contextualSpacing/>
    </w:pPr>
  </w:style>
  <w:style w:type="paragraph" w:styleId="Listenumros2">
    <w:name w:val="List Number 2"/>
    <w:basedOn w:val="Normal"/>
    <w:uiPriority w:val="99"/>
    <w:rsid w:val="007C4BCB"/>
    <w:pPr>
      <w:numPr>
        <w:numId w:val="2"/>
      </w:numPr>
      <w:contextualSpacing/>
    </w:pPr>
  </w:style>
  <w:style w:type="paragraph" w:styleId="Listenumros">
    <w:name w:val="List Number"/>
    <w:basedOn w:val="Normal"/>
    <w:uiPriority w:val="99"/>
    <w:rsid w:val="007C4BCB"/>
    <w:pPr>
      <w:numPr>
        <w:numId w:val="1"/>
      </w:numPr>
      <w:ind w:left="357" w:hanging="357"/>
      <w:contextualSpacing/>
    </w:pPr>
  </w:style>
  <w:style w:type="paragraph" w:styleId="Paragraphedeliste">
    <w:name w:val="List Paragraph"/>
    <w:basedOn w:val="Normal"/>
    <w:uiPriority w:val="34"/>
    <w:qFormat/>
    <w:rsid w:val="001519E1"/>
    <w:pPr>
      <w:spacing w:before="0" w:after="0" w:line="260" w:lineRule="exact"/>
      <w:ind w:left="720"/>
      <w:contextualSpacing/>
    </w:pPr>
    <w:rPr>
      <w:rFonts w:ascii="Arial" w:eastAsia="Times New Roman" w:hAnsi="Arial" w:cs="Times New Roman"/>
      <w:kern w:val="0"/>
      <w:sz w:val="20"/>
      <w:szCs w:val="20"/>
      <w:lang w:val="nl-NL"/>
      <w14:ligatures w14:val="none"/>
      <w14:numForm w14:val="default"/>
      <w14:numSpacing w14:val="default"/>
    </w:rPr>
  </w:style>
  <w:style w:type="character" w:styleId="Lienhypertexte">
    <w:name w:val="Hyperlink"/>
    <w:basedOn w:val="Policepardfaut"/>
    <w:uiPriority w:val="99"/>
    <w:unhideWhenUsed/>
    <w:rsid w:val="001519E1"/>
    <w:rPr>
      <w:color w:val="0563C1" w:themeColor="hyperlink"/>
      <w:u w:val="single"/>
    </w:rPr>
  </w:style>
  <w:style w:type="paragraph" w:customStyle="1" w:styleId="alina">
    <w:name w:val="alinéa"/>
    <w:basedOn w:val="Normal"/>
    <w:uiPriority w:val="18"/>
    <w:qFormat/>
    <w:rsid w:val="001519E1"/>
    <w:pPr>
      <w:spacing w:before="120" w:after="120" w:line="240" w:lineRule="auto"/>
      <w:jc w:val="both"/>
    </w:pPr>
    <w:rPr>
      <w:rFonts w:ascii="Times New Roman" w:eastAsiaTheme="minorEastAsia" w:hAnsi="Times New Roman"/>
      <w:kern w:val="0"/>
      <w:szCs w:val="24"/>
      <w14:ligatures w14:val="none"/>
      <w14:numForm w14:val="default"/>
      <w14:numSpacing w14:val="default"/>
    </w:rPr>
  </w:style>
  <w:style w:type="character" w:customStyle="1" w:styleId="Citationdetexte">
    <w:name w:val="Citation de texte"/>
    <w:uiPriority w:val="18"/>
    <w:qFormat/>
    <w:rsid w:val="001519E1"/>
    <w:rPr>
      <w:rFonts w:ascii="Courier New" w:hAnsi="Courier New"/>
      <w:i/>
      <w:spacing w:val="-12"/>
      <w:sz w:val="22"/>
    </w:rPr>
  </w:style>
  <w:style w:type="character" w:styleId="Mentionnonrsolue">
    <w:name w:val="Unresolved Mention"/>
    <w:basedOn w:val="Policepardfaut"/>
    <w:uiPriority w:val="99"/>
    <w:semiHidden/>
    <w:unhideWhenUsed/>
    <w:rsid w:val="001519E1"/>
    <w:rPr>
      <w:color w:val="605E5C"/>
      <w:shd w:val="clear" w:color="auto" w:fill="E1DFDD"/>
    </w:rPr>
  </w:style>
  <w:style w:type="paragraph" w:styleId="NormalWeb">
    <w:name w:val="Normal (Web)"/>
    <w:basedOn w:val="Normal"/>
    <w:uiPriority w:val="99"/>
    <w:semiHidden/>
    <w:unhideWhenUsed/>
    <w:rsid w:val="001519E1"/>
    <w:pPr>
      <w:spacing w:before="100" w:beforeAutospacing="1" w:after="100" w:afterAutospacing="1" w:line="240" w:lineRule="auto"/>
    </w:pPr>
    <w:rPr>
      <w:rFonts w:ascii="Times New Roman" w:eastAsia="Times New Roman" w:hAnsi="Times New Roman" w:cs="Times New Roman"/>
      <w:kern w:val="0"/>
      <w:szCs w:val="24"/>
      <w:lang w:eastAsia="fr-FR"/>
      <w14:ligatures w14:val="none"/>
      <w14:numForm w14:val="default"/>
      <w14:numSpacing w14:val="default"/>
    </w:rPr>
  </w:style>
  <w:style w:type="paragraph" w:styleId="En-tte">
    <w:name w:val="header"/>
    <w:basedOn w:val="Normal"/>
    <w:link w:val="En-tteCar"/>
    <w:uiPriority w:val="99"/>
    <w:unhideWhenUsed/>
    <w:rsid w:val="001519E1"/>
    <w:pPr>
      <w:tabs>
        <w:tab w:val="center" w:pos="4536"/>
        <w:tab w:val="right" w:pos="9072"/>
      </w:tabs>
      <w:spacing w:before="0" w:after="0" w:line="240" w:lineRule="auto"/>
    </w:pPr>
  </w:style>
  <w:style w:type="character" w:customStyle="1" w:styleId="En-tteCar">
    <w:name w:val="En-tête Car"/>
    <w:basedOn w:val="Policepardfaut"/>
    <w:link w:val="En-tte"/>
    <w:uiPriority w:val="99"/>
    <w:rsid w:val="001519E1"/>
    <w:rPr>
      <w:kern w:val="16"/>
      <w:sz w:val="24"/>
      <w14:ligatures w14:val="standardContextual"/>
      <w14:numForm w14:val="lining"/>
      <w14:numSpacing w14:val="tabular"/>
    </w:rPr>
  </w:style>
  <w:style w:type="paragraph" w:styleId="Pieddepage">
    <w:name w:val="footer"/>
    <w:basedOn w:val="Normal"/>
    <w:link w:val="PieddepageCar"/>
    <w:uiPriority w:val="99"/>
    <w:unhideWhenUsed/>
    <w:rsid w:val="001519E1"/>
    <w:pPr>
      <w:tabs>
        <w:tab w:val="center" w:pos="4536"/>
        <w:tab w:val="right" w:pos="9072"/>
      </w:tabs>
      <w:spacing w:before="0" w:after="0" w:line="240" w:lineRule="auto"/>
    </w:pPr>
  </w:style>
  <w:style w:type="character" w:customStyle="1" w:styleId="PieddepageCar">
    <w:name w:val="Pied de page Car"/>
    <w:basedOn w:val="Policepardfaut"/>
    <w:link w:val="Pieddepage"/>
    <w:uiPriority w:val="99"/>
    <w:rsid w:val="001519E1"/>
    <w:rPr>
      <w:kern w:val="16"/>
      <w:sz w:val="24"/>
      <w14:ligatures w14:val="standardContextual"/>
      <w14:numForm w14:val="lining"/>
      <w14:numSpacing w14:val="tabular"/>
    </w:rPr>
  </w:style>
  <w:style w:type="paragraph" w:customStyle="1" w:styleId="pdq2pgselectionanchorcontainer">
    <w:name w:val="pdq2pg_selectionanchorcontainer"/>
    <w:basedOn w:val="Normal"/>
    <w:rsid w:val="001519E1"/>
    <w:pPr>
      <w:spacing w:before="100" w:beforeAutospacing="1" w:after="100" w:afterAutospacing="1" w:line="240" w:lineRule="auto"/>
    </w:pPr>
    <w:rPr>
      <w:rFonts w:ascii="Times New Roman" w:eastAsia="Times New Roman" w:hAnsi="Times New Roman" w:cs="Times New Roman"/>
      <w:kern w:val="0"/>
      <w:szCs w:val="24"/>
      <w:lang w:eastAsia="fr-FR"/>
      <w14:ligatures w14:val="none"/>
      <w14:numForm w14:val="default"/>
      <w14:numSpacing w14:val="default"/>
    </w:rPr>
  </w:style>
  <w:style w:type="character" w:styleId="lev">
    <w:name w:val="Strong"/>
    <w:basedOn w:val="Policepardfaut"/>
    <w:uiPriority w:val="22"/>
    <w:qFormat/>
    <w:rsid w:val="001519E1"/>
    <w:rPr>
      <w:b/>
      <w:bCs/>
    </w:rPr>
  </w:style>
  <w:style w:type="character" w:styleId="Accentuation">
    <w:name w:val="Emphasis"/>
    <w:basedOn w:val="Policepardfaut"/>
    <w:uiPriority w:val="20"/>
    <w:qFormat/>
    <w:rsid w:val="001519E1"/>
    <w:rPr>
      <w:i/>
      <w:iCs/>
    </w:rPr>
  </w:style>
  <w:style w:type="paragraph" w:styleId="Notedebasdepage">
    <w:name w:val="footnote text"/>
    <w:basedOn w:val="Normal"/>
    <w:link w:val="NotedebasdepageCar"/>
    <w:uiPriority w:val="99"/>
    <w:semiHidden/>
    <w:unhideWhenUsed/>
    <w:rsid w:val="001519E1"/>
    <w:pPr>
      <w:spacing w:before="0" w:after="0" w:line="240" w:lineRule="auto"/>
    </w:pPr>
    <w:rPr>
      <w:sz w:val="20"/>
      <w:szCs w:val="20"/>
    </w:rPr>
  </w:style>
  <w:style w:type="character" w:customStyle="1" w:styleId="NotedebasdepageCar">
    <w:name w:val="Note de bas de page Car"/>
    <w:basedOn w:val="Policepardfaut"/>
    <w:link w:val="Notedebasdepage"/>
    <w:uiPriority w:val="99"/>
    <w:semiHidden/>
    <w:rsid w:val="001519E1"/>
    <w:rPr>
      <w:kern w:val="16"/>
      <w:sz w:val="20"/>
      <w:szCs w:val="20"/>
      <w14:ligatures w14:val="standardContextual"/>
      <w14:numForm w14:val="lining"/>
      <w14:numSpacing w14:val="tabular"/>
    </w:rPr>
  </w:style>
  <w:style w:type="character" w:styleId="Appelnotedebasdep">
    <w:name w:val="footnote reference"/>
    <w:basedOn w:val="Policepardfaut"/>
    <w:uiPriority w:val="99"/>
    <w:semiHidden/>
    <w:unhideWhenUsed/>
    <w:rsid w:val="001519E1"/>
    <w:rPr>
      <w:vertAlign w:val="superscript"/>
    </w:rPr>
  </w:style>
  <w:style w:type="character" w:styleId="Lienhypertextesuivivisit">
    <w:name w:val="FollowedHyperlink"/>
    <w:basedOn w:val="Policepardfaut"/>
    <w:uiPriority w:val="99"/>
    <w:semiHidden/>
    <w:unhideWhenUsed/>
    <w:rsid w:val="001519E1"/>
    <w:rPr>
      <w:color w:val="4472C4"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546997">
      <w:bodyDiv w:val="1"/>
      <w:marLeft w:val="0"/>
      <w:marRight w:val="0"/>
      <w:marTop w:val="0"/>
      <w:marBottom w:val="0"/>
      <w:divBdr>
        <w:top w:val="none" w:sz="0" w:space="0" w:color="auto"/>
        <w:left w:val="none" w:sz="0" w:space="0" w:color="auto"/>
        <w:bottom w:val="none" w:sz="0" w:space="0" w:color="auto"/>
        <w:right w:val="none" w:sz="0" w:space="0" w:color="auto"/>
      </w:divBdr>
    </w:div>
    <w:div w:id="159504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gg.gouv.bj/doc/decret-2025-678/" TargetMode="External"/><Relationship Id="rId18" Type="http://schemas.openxmlformats.org/officeDocument/2006/relationships/hyperlink" Target="https://www.parlament.ch/fr/ratsbetrieb/suche-curia-vista/geschaeft?AffairId=20233501" TargetMode="External"/><Relationship Id="rId26" Type="http://schemas.openxmlformats.org/officeDocument/2006/relationships/hyperlink" Target="https://www.fedlex.admin.ch/eli/cc/24/233_245_233/fr" TargetMode="External"/><Relationship Id="rId39" Type="http://schemas.openxmlformats.org/officeDocument/2006/relationships/hyperlink" Target="https://www.fedlex.admin.ch/eli/cc/2002/243/fr" TargetMode="External"/><Relationship Id="rId21" Type="http://schemas.openxmlformats.org/officeDocument/2006/relationships/hyperlink" Target="https://www.parlament.ch/fr/ratsbetrieb/suche-curia-vista/geschaeft?AffairId=20263562" TargetMode="External"/><Relationship Id="rId34" Type="http://schemas.openxmlformats.org/officeDocument/2006/relationships/hyperlink" Target="http://relevancy.bger.ch/php/aza/http/index.php?highlight_docid=aza%3A%2F%2F03-09-2025-5A_863-2024&amp;lang=de&amp;type=show_document" TargetMode="External"/><Relationship Id="rId42" Type="http://schemas.openxmlformats.org/officeDocument/2006/relationships/hyperlink" Target="https://www.fedlex.admin.ch/eli/cc/24/233_245_233/fr" TargetMode="External"/><Relationship Id="rId47" Type="http://schemas.openxmlformats.org/officeDocument/2006/relationships/hyperlink" Target="https://www.cortecostituzionale.it/scheda-pronuncia/2026/63" TargetMode="External"/><Relationship Id="rId50" Type="http://schemas.openxmlformats.org/officeDocument/2006/relationships/hyperlink" Target="https://www.news.admin.ch/fr/newnsb/OVfy0Gmq3EpE3DkBmQIfx"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edlex.admin.ch/eli/cc/24/233_245_233/fr" TargetMode="External"/><Relationship Id="rId29" Type="http://schemas.openxmlformats.org/officeDocument/2006/relationships/hyperlink" Target="https://www.parlament.ch/de/ratsbetrieb/suche-curia-vista/geschaeft?AffairId=20254039" TargetMode="External"/><Relationship Id="rId11" Type="http://schemas.openxmlformats.org/officeDocument/2006/relationships/hyperlink" Target="https://www.admin.ch/fr/newnsb/S9c6pbi0my7h" TargetMode="External"/><Relationship Id="rId24" Type="http://schemas.openxmlformats.org/officeDocument/2006/relationships/hyperlink" Target="https://www.vbs.admin.ch/fr/newnsb/yqAXZ9UStABqQTc1bL-PM" TargetMode="External"/><Relationship Id="rId32" Type="http://schemas.openxmlformats.org/officeDocument/2006/relationships/hyperlink" Target="https://www.parlament.ch/fr/ratsbetrieb/suche-curia-vista/geschaeft?AffairId=20264015" TargetMode="External"/><Relationship Id="rId37" Type="http://schemas.openxmlformats.org/officeDocument/2006/relationships/hyperlink" Target="http://relevancy.bger.ch/php/aza/http/index.php?highlight_docid=aza%3A%2F%2F01-05-2025-2C_480-2024&amp;lang=de&amp;type=show_document" TargetMode="External"/><Relationship Id="rId40" Type="http://schemas.openxmlformats.org/officeDocument/2006/relationships/hyperlink" Target="https://www.fedlex.admin.ch/eli/cc/1960/590_635_621/fr" TargetMode="External"/><Relationship Id="rId45" Type="http://schemas.openxmlformats.org/officeDocument/2006/relationships/hyperlink" Target="https://textes.justice.bj/document/view/loi-no2024-31-relative-a-la-reconnaissance-de-la-nationalite-beninoise-aux-afro-descendants-en-republique-du-benin-du-02-septembre-2024-de-la-republique-du-benin"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edlex.admin.ch/eli/cc/1999/490/fr" TargetMode="External"/><Relationship Id="rId19" Type="http://schemas.openxmlformats.org/officeDocument/2006/relationships/hyperlink" Target="https://www.parlament.ch/fr/ratsbetrieb/suche-curia-vista/geschaeft?AffairId=20170523" TargetMode="External"/><Relationship Id="rId31" Type="http://schemas.openxmlformats.org/officeDocument/2006/relationships/hyperlink" Target="https://www.admin.ch/fr/newnsb/UPajBvU4Xi90X_sINdoxi" TargetMode="External"/><Relationship Id="rId44" Type="http://schemas.openxmlformats.org/officeDocument/2006/relationships/hyperlink" Target="https://www.ejustice.just.fgov.be/eli/loi/2026/02/08/2026001159/moniteur"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edlex.admin.ch/eli/cc/24/233_245_233/fr" TargetMode="External"/><Relationship Id="rId14" Type="http://schemas.openxmlformats.org/officeDocument/2006/relationships/hyperlink" Target="https://dait.interno.gov.it/documenti/circ-dait-037-servdemo-30-03-2026.pdf" TargetMode="External"/><Relationship Id="rId22" Type="http://schemas.openxmlformats.org/officeDocument/2006/relationships/hyperlink" Target="https://www.fedlex.admin.ch/eli/cc/24/233_245_233/fr" TargetMode="External"/><Relationship Id="rId27" Type="http://schemas.openxmlformats.org/officeDocument/2006/relationships/hyperlink" Target="https://www.cortedicassazione.it/resources/cms/documents/7919_03_2026_civ_oscuramento_noindex.pdf" TargetMode="External"/><Relationship Id="rId30" Type="http://schemas.openxmlformats.org/officeDocument/2006/relationships/hyperlink" Target="https://www.parlament.ch/fr/ratsbetrieb/suche-curia-vista/geschaeft?AffairId=20220448" TargetMode="External"/><Relationship Id="rId35" Type="http://schemas.openxmlformats.org/officeDocument/2006/relationships/hyperlink" Target="https://www.fedlex.admin.ch/eli/cc/1988/1776_1776_1776/fr" TargetMode="External"/><Relationship Id="rId43" Type="http://schemas.openxmlformats.org/officeDocument/2006/relationships/hyperlink" Target="https://www.ejustice.just.fgov.be/eli/loi/2025/07/18/2025005578/moniteur" TargetMode="External"/><Relationship Id="rId48" Type="http://schemas.openxmlformats.org/officeDocument/2006/relationships/hyperlink" Target="https://www.cortedicassazione.it/it/civile_dettaglio.page?contentId=SZC51617" TargetMode="External"/><Relationship Id="rId8" Type="http://schemas.openxmlformats.org/officeDocument/2006/relationships/hyperlink" Target="https://www.parlament.ch/fr/ratsbetrieb/suche-curia-vista/geschaeft?AffairId=20214482" TargetMode="External"/><Relationship Id="rId51" Type="http://schemas.openxmlformats.org/officeDocument/2006/relationships/hyperlink" Target="https://www.fedlex.admin.ch/eli/cc/2004/362/fr" TargetMode="External"/><Relationship Id="rId3" Type="http://schemas.openxmlformats.org/officeDocument/2006/relationships/styles" Target="styles.xml"/><Relationship Id="rId12" Type="http://schemas.openxmlformats.org/officeDocument/2006/relationships/hyperlink" Target="https://sgg.gouv.bj/doc/decret-2025-679/download" TargetMode="External"/><Relationship Id="rId17" Type="http://schemas.openxmlformats.org/officeDocument/2006/relationships/hyperlink" Target="https://www.bj.admin.ch/dam/fr/sd-web/EL7-5yBs3flA/10-22-01-01.pdf" TargetMode="External"/><Relationship Id="rId25" Type="http://schemas.openxmlformats.org/officeDocument/2006/relationships/hyperlink" Target="https://www.bj.admin.ch/dam/fr/sd-web/VPqQLgnHcA8b/10-25-06-01-f.pdf" TargetMode="External"/><Relationship Id="rId33" Type="http://schemas.openxmlformats.org/officeDocument/2006/relationships/hyperlink" Target="https://www.fedlex.admin.ch/eli/cc/24/233_245_233/fr" TargetMode="External"/><Relationship Id="rId38" Type="http://schemas.openxmlformats.org/officeDocument/2006/relationships/hyperlink" Target="https://www.bj.admin.ch/dam/fr/sd-web/0Wi8z8IqK4rL/10-22-04-01.pdf" TargetMode="External"/><Relationship Id="rId46" Type="http://schemas.openxmlformats.org/officeDocument/2006/relationships/hyperlink" Target="https://www.gazzettaufficiale.it/eli/id/2025/05/23/25G00082/SG" TargetMode="External"/><Relationship Id="rId20" Type="http://schemas.openxmlformats.org/officeDocument/2006/relationships/hyperlink" Target="https://www.fedlex.admin.ch/eli/cc/2004/362/fr" TargetMode="External"/><Relationship Id="rId41" Type="http://schemas.openxmlformats.org/officeDocument/2006/relationships/hyperlink" Target="https://www.fedlex.admin.ch/eli/cc/1988/1776_1776_1776/f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relevancy.bger.ch/php/clir/http/index.php?highlight_docid=atf%3A%2F%2F151-III-1%3Afr&amp;lang=fr&amp;type=show_document" TargetMode="External"/><Relationship Id="rId23" Type="http://schemas.openxmlformats.org/officeDocument/2006/relationships/hyperlink" Target="https://www.parlament.ch/fr/ratsbetrieb/suche-curia-vista/geschaeft?AffairId=20213981" TargetMode="External"/><Relationship Id="rId28" Type="http://schemas.openxmlformats.org/officeDocument/2006/relationships/hyperlink" Target="https://www.parlament.ch/fr/ratsbetrieb/suche-curia-vista/geschaeft?AffairId=20254513" TargetMode="External"/><Relationship Id="rId36" Type="http://schemas.openxmlformats.org/officeDocument/2006/relationships/hyperlink" Target="https://www.fedlex.admin.ch/eli/cc/24/233_245_233/fr" TargetMode="External"/><Relationship Id="rId49" Type="http://schemas.openxmlformats.org/officeDocument/2006/relationships/hyperlink" Target="https://www.cortecostituzionale.it/scheda-pronuncia/2026/147"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legifrance.gouv.fr/juri/id/JURITEXT000054392422?init=true&amp;nomCode=bbVnEQ%3D%3D&amp;page=1&amp;query=m%C3%A9rule&amp;searchField=ARTICLE&amp;tab_selection=code" TargetMode="External"/><Relationship Id="rId2" Type="http://schemas.openxmlformats.org/officeDocument/2006/relationships/hyperlink" Target="https://www.legifrance.gouv.fr/juri/id/JURITEXT000054392426" TargetMode="External"/><Relationship Id="rId1" Type="http://schemas.openxmlformats.org/officeDocument/2006/relationships/hyperlink" Target="https://www.ejustice.just.fgov.be/eli/decreet/2025/07/14/2025006149/staatsblad" TargetMode="External"/></Relationships>
</file>

<file path=word/theme/theme1.xml><?xml version="1.0" encoding="utf-8"?>
<a:theme xmlns:a="http://schemas.openxmlformats.org/drawingml/2006/main" name="unistra_calibri">
  <a:themeElements>
    <a:clrScheme name="Unistra">
      <a:dk1>
        <a:sysClr val="windowText" lastClr="000000"/>
      </a:dk1>
      <a:lt1>
        <a:sysClr val="window" lastClr="FFFFFF"/>
      </a:lt1>
      <a:dk2>
        <a:srgbClr val="E40136"/>
      </a:dk2>
      <a:lt2>
        <a:srgbClr val="F4EAE7"/>
      </a:lt2>
      <a:accent1>
        <a:srgbClr val="4C2ED6"/>
      </a:accent1>
      <a:accent2>
        <a:srgbClr val="B0685F"/>
      </a:accent2>
      <a:accent3>
        <a:srgbClr val="BF1C66"/>
      </a:accent3>
      <a:accent4>
        <a:srgbClr val="0095FF"/>
      </a:accent4>
      <a:accent5>
        <a:srgbClr val="00C1C1"/>
      </a:accent5>
      <a:accent6>
        <a:srgbClr val="008A57"/>
      </a:accent6>
      <a:hlink>
        <a:srgbClr val="0563C1"/>
      </a:hlink>
      <a:folHlink>
        <a:srgbClr val="4472C4"/>
      </a:folHlink>
    </a:clrScheme>
    <a:fontScheme name="Unistra_normal">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unistra_calibri" id="{E1A4B62C-EB00-46E2-93AD-C66DDE721F51}" vid="{48AF0DF8-3F8E-4532-95BE-99237CBEBBC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60B2F-0C7C-4950-925D-559A0966A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6819</Words>
  <Characters>37509</Characters>
  <Application>Microsoft Office Word</Application>
  <DocSecurity>0</DocSecurity>
  <Lines>312</Lines>
  <Paragraphs>88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Nord</dc:creator>
  <cp:keywords/>
  <dc:description/>
  <cp:lastModifiedBy>Carlotta Lopresti</cp:lastModifiedBy>
  <cp:revision>2</cp:revision>
  <dcterms:created xsi:type="dcterms:W3CDTF">2026-10-19T08:16:00Z</dcterms:created>
  <dcterms:modified xsi:type="dcterms:W3CDTF">2026-10-19T08:16:00Z</dcterms:modified>
</cp:coreProperties>
</file>